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X3ca9ce7df9b06bbf79e5776d10059704d94995f"/>
    <w:p>
      <w:pPr>
        <w:pStyle w:val="Title"/>
      </w:pPr>
      <w:r>
        <w:t xml:space="preserve">Frame-Aligned Records: Supplementary Information</w:t>
      </w:r>
    </w:p>
    <w:bookmarkStart w:id="20" w:name="X5a3f395f0a4a9138a670386a2ce4ae43ab8c58d"/>
    <w:p>
      <w:pPr>
        <w:pStyle w:val="Heading2"/>
      </w:pPr>
      <w:r>
        <w:t xml:space="preserve">Calculations, study definitions and reproducibility</w:t>
      </w:r>
    </w:p>
    <w:p>
      <w:pPr>
        <w:pStyle w:val="FirstParagraph"/>
      </w:pPr>
      <w:r>
        <w:rPr>
          <w:b/>
          <w:bCs/>
        </w:rPr>
        <w:t xml:space="preserve">Supplementary Information v1.2 | 26 September 2026</w:t>
      </w:r>
    </w:p>
    <w:p>
      <w:pPr>
        <w:pStyle w:val="BodyText"/>
      </w:pPr>
      <w:r>
        <w:rPr>
          <w:b/>
          <w:bCs/>
        </w:rPr>
        <w:t xml:space="preserve">James McGaughran</w:t>
      </w:r>
    </w:p>
    <w:p>
      <w:pPr>
        <w:pStyle w:val="BodyText"/>
      </w:pPr>
      <w:r>
        <w:rPr>
          <w:b/>
          <w:bCs/>
        </w:rPr>
        <w:t xml:space="preserve">Scope.</w:t>
      </w:r>
      <w:r>
        <w:t xml:space="preserve"> </w:t>
      </w:r>
      <w:r>
        <w:t xml:space="preserve">This supplement supports the methods paper. Scientific calculations and model definitions come first; dated lineage is in the final provenance section. A reported historical run, a fresh same-code replay and a separate numerical implementation have different evidential meanings.</w:t>
      </w:r>
    </w:p>
    <w:p>
      <w:pPr>
        <w:pStyle w:val="BodyText"/>
      </w:pPr>
      <w:r>
        <w:rPr>
          <w:b/>
          <w:bCs/>
        </w:rPr>
        <w:t xml:space="preserve">Version crosswalk.</w:t>
      </w:r>
      <w:r>
        <w:t xml:space="preserve"> </w:t>
      </w:r>
      <w:r>
        <w:t xml:space="preserve">Portfolio v1.8 identifies the distribution;</w:t>
      </w:r>
      <w:r>
        <w:t xml:space="preserve"> </w:t>
      </w:r>
      <w:r>
        <w:rPr>
          <w:i/>
          <w:iCs/>
        </w:rPr>
        <w:t xml:space="preserve">Frame-Aligned Records</w:t>
      </w:r>
      <w:r>
        <w:t xml:space="preserve"> </w:t>
      </w:r>
      <w:r>
        <w:t xml:space="preserve">v0.5, this supplement v1.2, the results log v1.2, protocol reader edition v1.3 and</w:t>
      </w:r>
      <w:r>
        <w:t xml:space="preserve"> </w:t>
      </w:r>
      <w:r>
        <w:rPr>
          <w:i/>
          <w:iCs/>
        </w:rPr>
        <w:t xml:space="preserve">Absolute Infinite Union</w:t>
      </w:r>
      <w:r>
        <w:t xml:space="preserve"> </w:t>
      </w:r>
      <w:r>
        <w:t xml:space="preserve">v1.4 identify its components. CAL-1.6 and similar identifiers name fixed calculation suites, not alternative current manuscripts. A historical label means a preserved prior state, even when its date is only one day earlier. The authoritative executed specification remains protocol v1.2 and its original pre-execution receipt; later reader edits do not modify that record. Finalization retains these version labels and records changes through source hashes and a dated change record.</w:t>
      </w:r>
    </w:p>
    <w:bookmarkEnd w:id="20"/>
    <w:bookmarkStart w:id="21" w:name="X360efccafd8327c98d8c6a28173c2ef4acb65cc"/>
    <w:p>
      <w:pPr>
        <w:pStyle w:val="Heading2"/>
      </w:pPr>
      <w:r>
        <w:t xml:space="preserve">S1. Numerical provenance for the methods paper</w:t>
      </w:r>
    </w:p>
    <w:p>
      <w:pPr>
        <w:pStyle w:val="FirstParagraph"/>
      </w:pPr>
      <w:r>
        <w:t xml:space="preserve">The source run labels S01 to S06 refer to the preserved six-script calibration suite under</w:t>
      </w:r>
      <w:r>
        <w:t xml:space="preserve"> </w:t>
      </w:r>
      <w:r>
        <w:rPr>
          <w:rStyle w:val="VerbatimChar"/>
        </w:rPr>
        <w:t xml:space="preserve">historical/supporting_lineage/v1_6_code/legacy_v1_5/legacy_claude_v0_2_0/</w:t>
      </w:r>
      <w:r>
        <w:t xml:space="preserve">. The original display values and sampling histories are retained, not all rerun during this editorial release. The newer calibration and pilot paths are listed explicitly below.</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Statement</w:t>
            </w:r>
          </w:p>
        </w:tc>
        <w:tc>
          <w:tcPr>
            <w:shd w:fill="EAF0F4"/>
            <w:tcW w:type="dxa" w:w="3834"/>
            <w:vAlign w:val="top"/>
          </w:tcPr>
          <w:p>
            <w:pPr>
              <w:pStyle w:val="Compact"/>
              <w:spacing w:after="60" w:line="240" w:lineRule="auto"/>
              <w:jc w:val="left"/>
            </w:pPr>
            <w:r>
              <w:rPr>
                <w:rFonts w:ascii="Carlito" w:hAnsi="Carlito"/>
                <w:b/>
                <w:sz w:val="18"/>
              </w:rPr>
              <w:t xml:space="preserve">Value(s)</w:t>
            </w:r>
          </w:p>
        </w:tc>
        <w:tc>
          <w:tcPr>
            <w:shd w:fill="EAF0F4"/>
            <w:tcW w:type="dxa" w:w="3539"/>
            <w:vAlign w:val="top"/>
          </w:tcPr>
          <w:p>
            <w:pPr>
              <w:pStyle w:val="Compact"/>
              <w:spacing w:after="60" w:line="240" w:lineRule="auto"/>
              <w:jc w:val="left"/>
            </w:pPr>
            <w:r>
              <w:rPr>
                <w:rFonts w:ascii="Carlito" w:hAnsi="Carlito"/>
                <w:b/>
                <w:sz w:val="18"/>
              </w:rPr>
              <w:t xml:space="preserve">Script and output key</w:t>
            </w:r>
          </w:p>
        </w:tc>
      </w:tr>
      <w:tr>
        <w:trPr>
          <w:cantSplit/>
        </w:trPr>
        <w:tc>
          <w:tcPr>
            <w:tcW w:type="dxa" w:w="2458"/>
            <w:vAlign w:val="top"/>
          </w:tcPr>
          <w:p>
            <w:pPr>
              <w:pStyle w:val="Compact"/>
              <w:spacing w:after="60" w:line="240" w:lineRule="auto"/>
              <w:jc w:val="left"/>
            </w:pPr>
            <w:r>
              <w:rPr>
                <w:rFonts w:ascii="Carlito" w:hAnsi="Carlito"/>
                <w:sz w:val="18"/>
              </w:rPr>
              <w:t xml:space="preserve">Lemma 1 counterexample</w:t>
            </w:r>
          </w:p>
        </w:tc>
        <w:tc>
          <w:tcPr>
            <w:tcW w:type="dxa" w:w="3834"/>
            <w:vAlign w:val="top"/>
          </w:tcPr>
          <w:p>
            <w:pPr>
              <w:pStyle w:val="Compact"/>
              <w:spacing w:after="60" w:line="240" w:lineRule="auto"/>
              <w:jc w:val="left"/>
            </w:pPr>
            <m:oMath>
              <m:r>
                <m:t>L</m:t>
              </m:r>
              <m:r>
                <m:rPr>
                  <m:sty m:val="p"/>
                </m:rPr>
                <m:t>=</m:t>
              </m:r>
              <m:r>
                <m:t>401</m:t>
              </m:r>
            </m:oMath>
          </w:p>
        </w:tc>
        <w:tc>
          <w:tcPr>
            <w:tcW w:type="dxa" w:w="3539"/>
            <w:vAlign w:val="top"/>
          </w:tcPr>
          <w:p>
            <w:pPr>
              <w:pStyle w:val="Compact"/>
              <w:spacing w:after="60" w:line="240" w:lineRule="auto"/>
              <w:jc w:val="left"/>
            </w:pPr>
            <w:r>
              <w:rPr>
                <w:rFonts w:ascii="Carlito" w:hAnsi="Carlito"/>
                <w:sz w:val="18"/>
              </w:rPr>
              <w:t xml:space="preserve">S02</w:t>
            </w:r>
            <w:r>
              <w:rPr>
                <w:rFonts w:ascii="Carlito" w:hAnsi="Carlito"/>
                <w:sz w:val="18"/>
              </w:rPr>
              <w:t xml:space="preserve"> </w:t>
            </w:r>
            <w:r>
              <w:rPr>
                <w:rStyle w:val="VerbatimChar"/>
                <w:rFonts w:ascii="Carlito" w:hAnsi="Carlito"/>
                <w:sz w:val="18"/>
              </w:rPr>
              <w:t xml:space="preserve">L1_counterexample_published_expression_without_identity</w:t>
            </w:r>
          </w:p>
        </w:tc>
      </w:tr>
      <w:tr>
        <w:trPr>
          <w:cantSplit/>
        </w:trPr>
        <w:tc>
          <w:tcPr>
            <w:tcW w:type="dxa" w:w="2458"/>
            <w:vAlign w:val="top"/>
          </w:tcPr>
          <w:p>
            <w:pPr>
              <w:pStyle w:val="Compact"/>
              <w:spacing w:after="60" w:line="240" w:lineRule="auto"/>
              <w:jc w:val="left"/>
            </w:pPr>
            <w:r>
              <w:rPr>
                <w:rFonts w:ascii="Carlito" w:hAnsi="Carlito"/>
                <w:sz w:val="18"/>
              </w:rPr>
              <w:t xml:space="preserve">Lemma 3 invariance; generic change</w:t>
            </w:r>
          </w:p>
        </w:tc>
        <w:tc>
          <w:tcPr>
            <w:tcW w:type="dxa" w:w="3834"/>
            <w:vAlign w:val="top"/>
          </w:tcPr>
          <w:p>
            <w:pPr>
              <w:pStyle w:val="Compact"/>
              <w:spacing w:after="60" w:line="240" w:lineRule="auto"/>
              <w:jc w:val="left"/>
            </w:pPr>
            <m:oMath>
              <m:r>
                <m:rPr>
                  <m:sty m:val="p"/>
                </m:rPr>
                <m:t>≤</m:t>
              </m:r>
              <m:r>
                <m:t>6</m:t>
              </m:r>
              <m:r>
                <m:rPr>
                  <m:sty m:val="p"/>
                </m:rPr>
                <m:t>×</m:t>
              </m:r>
              <m:sSup>
                <m:e>
                  <m:r>
                    <m:t>10</m:t>
                  </m:r>
                </m:e>
                <m:sup>
                  <m:r>
                    <m:rPr>
                      <m:sty m:val="p"/>
                    </m:rPr>
                    <m:t>−</m:t>
                  </m:r>
                  <m:r>
                    <m:t>17</m:t>
                  </m:r>
                </m:sup>
              </m:sSup>
            </m:oMath>
            <w:r>
              <w:rPr>
                <w:rFonts w:ascii="Carlito" w:hAnsi="Carlito"/>
                <w:sz w:val="18"/>
              </w:rPr>
              <w:t xml:space="preserve">;</w:t>
            </w:r>
            <w:r>
              <w:rPr>
                <w:rFonts w:ascii="Carlito" w:hAnsi="Carlito"/>
                <w:sz w:val="18"/>
              </w:rPr>
              <w:t xml:space="preserve"> </w:t>
            </w:r>
            <m:oMath>
              <m:r>
                <m:t>0.144</m:t>
              </m:r>
            </m:oMath>
          </w:p>
        </w:tc>
        <w:tc>
          <w:tcPr>
            <w:tcW w:type="dxa" w:w="3539"/>
            <w:vAlign w:val="top"/>
          </w:tcPr>
          <w:p>
            <w:pPr>
              <w:pStyle w:val="Compact"/>
              <w:spacing w:after="60" w:line="240" w:lineRule="auto"/>
              <w:jc w:val="left"/>
            </w:pPr>
            <w:r>
              <w:rPr>
                <w:rFonts w:ascii="Carlito" w:hAnsi="Carlito"/>
                <w:sz w:val="18"/>
              </w:rPr>
              <w:t xml:space="preserve">S02</w:t>
            </w:r>
            <w:r>
              <w:rPr>
                <w:rFonts w:ascii="Carlito" w:hAnsi="Carlito"/>
                <w:sz w:val="18"/>
              </w:rPr>
              <w:t xml:space="preserve"> </w:t>
            </w:r>
            <w:r>
              <w:rPr>
                <w:rStyle w:val="VerbatimChar"/>
                <w:rFonts w:ascii="Carlito" w:hAnsi="Carlito"/>
                <w:sz w:val="18"/>
              </w:rPr>
              <w:t xml:space="preserve">L3_*</w:t>
            </w:r>
          </w:p>
        </w:tc>
      </w:tr>
      <w:tr>
        <w:trPr>
          <w:cantSplit/>
        </w:trPr>
        <w:tc>
          <w:tcPr>
            <w:tcW w:type="dxa" w:w="2458"/>
            <w:vAlign w:val="top"/>
          </w:tcPr>
          <w:p>
            <w:pPr>
              <w:pStyle w:val="Compact"/>
              <w:spacing w:after="60" w:line="240" w:lineRule="auto"/>
              <w:jc w:val="left"/>
            </w:pPr>
            <w:r>
              <w:rPr>
                <w:rFonts w:ascii="Carlito" w:hAnsi="Carlito"/>
                <w:sz w:val="18"/>
              </w:rPr>
              <w:t xml:space="preserve">Proposition 1(c)</w:t>
            </w:r>
          </w:p>
        </w:tc>
        <w:tc>
          <w:tcPr>
            <w:tcW w:type="dxa" w:w="3834"/>
            <w:vAlign w:val="top"/>
          </w:tcPr>
          <w:p>
            <w:pPr>
              <w:pStyle w:val="Compact"/>
              <w:spacing w:after="60" w:line="240" w:lineRule="auto"/>
              <w:jc w:val="left"/>
            </w:pPr>
            <m:oMath>
              <m:r>
                <m:t>1.0</m:t>
              </m:r>
            </m:oMath>
          </w:p>
        </w:tc>
        <w:tc>
          <w:tcPr>
            <w:tcW w:type="dxa" w:w="3539"/>
            <w:vAlign w:val="top"/>
          </w:tcPr>
          <w:p>
            <w:pPr>
              <w:pStyle w:val="Compact"/>
              <w:spacing w:after="60" w:line="240" w:lineRule="auto"/>
              <w:jc w:val="left"/>
            </w:pPr>
            <w:r>
              <w:rPr>
                <w:rFonts w:ascii="Carlito" w:hAnsi="Carlito"/>
                <w:sz w:val="18"/>
              </w:rPr>
              <w:t xml:space="preserve">S02</w:t>
            </w:r>
            <w:r>
              <w:rPr>
                <w:rFonts w:ascii="Carlito" w:hAnsi="Carlito"/>
                <w:sz w:val="18"/>
              </w:rPr>
              <w:t xml:space="preserve"> </w:t>
            </w:r>
            <w:r>
              <w:rPr>
                <w:rStyle w:val="VerbatimChar"/>
                <w:rFonts w:ascii="Carlito" w:hAnsi="Carlito"/>
                <w:sz w:val="18"/>
              </w:rPr>
              <w:t xml:space="preserve">P1_commuting_unitary_changes_pure_ground_state_by</w:t>
            </w:r>
          </w:p>
        </w:tc>
      </w:tr>
      <w:tr>
        <w:trPr>
          <w:cantSplit/>
        </w:trPr>
        <w:tc>
          <w:tcPr>
            <w:tcW w:type="dxa" w:w="2458"/>
            <w:vAlign w:val="top"/>
          </w:tcPr>
          <w:p>
            <w:pPr>
              <w:pStyle w:val="Compact"/>
              <w:spacing w:after="60" w:line="240" w:lineRule="auto"/>
              <w:jc w:val="left"/>
            </w:pPr>
            <w:r>
              <w:rPr>
                <w:rFonts w:ascii="Carlito" w:hAnsi="Carlito"/>
                <w:sz w:val="18"/>
              </w:rPr>
              <w:t xml:space="preserve">Proposition 1, Remark 2</w:t>
            </w:r>
          </w:p>
        </w:tc>
        <w:tc>
          <w:tcPr>
            <w:tcW w:type="dxa" w:w="3834"/>
            <w:vAlign w:val="top"/>
          </w:tcPr>
          <w:p>
            <w:pPr>
              <w:pStyle w:val="Compact"/>
              <w:spacing w:after="60" w:line="240" w:lineRule="auto"/>
              <w:jc w:val="left"/>
            </w:pPr>
            <m:oMath>
              <m:r>
                <m:t>1.0</m:t>
              </m:r>
              <m:r>
                <m:rPr>
                  <m:sty m:val="p"/>
                </m:rPr>
                <m:t>,</m:t>
              </m:r>
              <m:r>
                <m:t>0.399</m:t>
              </m:r>
              <m:r>
                <m:rPr>
                  <m:sty m:val="p"/>
                </m:rPr>
                <m:t>,</m:t>
              </m:r>
              <m:r>
                <m:t>0</m:t>
              </m:r>
              <m:r>
                <m:rPr>
                  <m:sty m:val="p"/>
                </m:rPr>
                <m:t>,</m:t>
              </m:r>
              <m:r>
                <m:t>0.399</m:t>
              </m:r>
              <m:r>
                <m:rPr>
                  <m:sty m:val="p"/>
                </m:rPr>
                <m:t>,</m:t>
              </m:r>
              <m:r>
                <m:t>1.0</m:t>
              </m:r>
            </m:oMath>
            <w:r>
              <w:rPr>
                <w:rFonts w:ascii="Carlito" w:hAnsi="Carlito"/>
                <w:sz w:val="18"/>
              </w:rPr>
              <w:t xml:space="preserve"> </w:t>
            </w:r>
            <w:r>
              <w:rPr>
                <w:rFonts w:ascii="Carlito" w:hAnsi="Carlito"/>
                <w:sz w:val="18"/>
              </w:rPr>
              <w:t xml:space="preserve">bits</w:t>
            </w:r>
          </w:p>
        </w:tc>
        <w:tc>
          <w:tcPr>
            <w:tcW w:type="dxa" w:w="3539"/>
            <w:vAlign w:val="top"/>
          </w:tcPr>
          <w:p>
            <w:pPr>
              <w:pStyle w:val="Compact"/>
              <w:spacing w:after="60" w:line="240" w:lineRule="auto"/>
              <w:jc w:val="left"/>
            </w:pPr>
            <w:r>
              <w:rPr>
                <w:rFonts w:ascii="Carlito" w:hAnsi="Carlito"/>
                <w:sz w:val="18"/>
              </w:rPr>
              <w:t xml:space="preserve">S02</w:t>
            </w:r>
            <w:r>
              <w:rPr>
                <w:rFonts w:ascii="Carlito" w:hAnsi="Carlito"/>
                <w:sz w:val="18"/>
              </w:rPr>
              <w:t xml:space="preserve"> </w:t>
            </w:r>
            <w:r>
              <w:rPr>
                <w:rStyle w:val="VerbatimChar"/>
                <w:rFonts w:ascii="Carlito" w:hAnsi="Carlito"/>
                <w:sz w:val="18"/>
              </w:rPr>
              <w:t xml:space="preserve">P1_stationary_average_conceals_conditional_dynamics</w:t>
            </w:r>
          </w:p>
        </w:tc>
      </w:tr>
      <w:tr>
        <w:trPr>
          <w:cantSplit/>
        </w:trPr>
        <w:tc>
          <w:tcPr>
            <w:tcW w:type="dxa" w:w="2458"/>
            <w:vAlign w:val="top"/>
          </w:tcPr>
          <w:p>
            <w:pPr>
              <w:pStyle w:val="Compact"/>
              <w:spacing w:after="60" w:line="240" w:lineRule="auto"/>
              <w:jc w:val="left"/>
            </w:pPr>
            <w:r>
              <w:rPr>
                <w:rFonts w:ascii="Carlito" w:hAnsi="Carlito"/>
                <w:sz w:val="18"/>
              </w:rPr>
              <w:t xml:space="preserve">Proposition 2</w:t>
            </w:r>
          </w:p>
        </w:tc>
        <w:tc>
          <w:tcPr>
            <w:tcW w:type="dxa" w:w="3834"/>
            <w:vAlign w:val="top"/>
          </w:tcPr>
          <w:p>
            <w:pPr>
              <w:pStyle w:val="Compact"/>
              <w:spacing w:after="60" w:line="240" w:lineRule="auto"/>
              <w:jc w:val="left"/>
            </w:pPr>
            <m:oMath>
              <m:r>
                <m:t>0.5270653410</m:t>
              </m:r>
            </m:oMath>
            <w:r>
              <w:rPr>
                <w:rFonts w:ascii="Carlito" w:hAnsi="Carlito"/>
                <w:sz w:val="18"/>
              </w:rPr>
              <w:t xml:space="preserve">;</w:t>
            </w:r>
            <w:r>
              <w:rPr>
                <w:rFonts w:ascii="Carlito" w:hAnsi="Carlito"/>
                <w:sz w:val="18"/>
              </w:rPr>
              <w:t xml:space="preserve"> </w:t>
            </w:r>
            <m:oMath>
              <m:r>
                <m:t>0.3400520132</m:t>
              </m:r>
            </m:oMath>
            <w:r>
              <w:rPr>
                <w:rFonts w:ascii="Carlito" w:hAnsi="Carlito"/>
                <w:sz w:val="18"/>
              </w:rPr>
              <w:t xml:space="preserve">;</w:t>
            </w:r>
            <w:r>
              <w:rPr>
                <w:rFonts w:ascii="Carlito" w:hAnsi="Carlito"/>
                <w:sz w:val="18"/>
              </w:rPr>
              <w:t xml:space="preserve"> </w:t>
            </w:r>
            <m:oMath>
              <m:r>
                <m:rPr>
                  <m:sty m:val="p"/>
                </m:rPr>
                <m:t>−</m:t>
              </m:r>
              <m:r>
                <m:t>0.7615941560</m:t>
              </m:r>
            </m:oMath>
            <w:r>
              <w:rPr>
                <w:rFonts w:ascii="Carlito" w:hAnsi="Carlito"/>
                <w:sz w:val="18"/>
              </w:rPr>
              <w:t xml:space="preserve">;</w:t>
            </w:r>
            <w:r>
              <w:rPr>
                <w:rFonts w:ascii="Carlito" w:hAnsi="Carlito"/>
                <w:sz w:val="18"/>
              </w:rPr>
              <w:t xml:space="preserve"> </w:t>
            </w:r>
            <m:oMath>
              <m:r>
                <m:t>0</m:t>
              </m:r>
            </m:oMath>
            <w:r>
              <w:rPr>
                <w:rFonts w:ascii="Carlito" w:hAnsi="Carlito"/>
                <w:sz w:val="18"/>
              </w:rPr>
              <w:t xml:space="preserve">;</w:t>
            </w:r>
            <w:r>
              <w:rPr>
                <w:rFonts w:ascii="Carlito" w:hAnsi="Carlito"/>
                <w:sz w:val="18"/>
              </w:rPr>
              <w:t xml:space="preserve"> </w:t>
            </w:r>
            <m:oMath>
              <m:r>
                <m:t>1</m:t>
              </m:r>
              <m:r>
                <m:rPr>
                  <m:sty m:val="p"/>
                </m:rPr>
                <m:t>→</m:t>
              </m:r>
              <m:r>
                <m:t>0</m:t>
              </m:r>
            </m:oMath>
            <w:r>
              <w:rPr>
                <w:rFonts w:ascii="Carlito" w:hAnsi="Carlito"/>
                <w:sz w:val="18"/>
              </w:rPr>
              <w:t xml:space="preserve"> </w:t>
            </w:r>
            <w:r>
              <w:rPr>
                <w:rFonts w:ascii="Carlito" w:hAnsi="Carlito"/>
                <w:sz w:val="18"/>
              </w:rPr>
              <w:t xml:space="preserve">bits</w:t>
            </w:r>
          </w:p>
        </w:tc>
        <w:tc>
          <w:tcPr>
            <w:tcW w:type="dxa" w:w="3539"/>
            <w:vAlign w:val="top"/>
          </w:tcPr>
          <w:p>
            <w:pPr>
              <w:pStyle w:val="Compact"/>
              <w:spacing w:after="60" w:line="240" w:lineRule="auto"/>
              <w:jc w:val="left"/>
            </w:pPr>
            <w:r>
              <w:rPr>
                <w:rFonts w:ascii="Carlito" w:hAnsi="Carlito"/>
                <w:sz w:val="18"/>
              </w:rPr>
              <w:t xml:space="preserve">S01</w:t>
            </w:r>
            <w:r>
              <w:rPr>
                <w:rFonts w:ascii="Carlito" w:hAnsi="Carlito"/>
                <w:sz w:val="18"/>
              </w:rPr>
              <w:t xml:space="preserve"> </w:t>
            </w:r>
            <w:r>
              <w:rPr>
                <w:rStyle w:val="VerbatimChar"/>
                <w:rFonts w:ascii="Carlito" w:hAnsi="Carlito"/>
                <w:sz w:val="18"/>
              </w:rPr>
              <w:t xml:space="preserve">P2_*</w:t>
            </w:r>
          </w:p>
        </w:tc>
      </w:tr>
      <w:tr>
        <w:trPr>
          <w:cantSplit/>
        </w:trPr>
        <w:tc>
          <w:tcPr>
            <w:tcW w:type="dxa" w:w="2458"/>
            <w:vAlign w:val="top"/>
          </w:tcPr>
          <w:p>
            <w:pPr>
              <w:pStyle w:val="Compact"/>
              <w:spacing w:after="60" w:line="240" w:lineRule="auto"/>
              <w:jc w:val="left"/>
            </w:pPr>
            <w:r>
              <w:rPr>
                <w:rFonts w:ascii="Carlito" w:hAnsi="Carlito"/>
                <w:sz w:val="18"/>
              </w:rPr>
              <w:t xml:space="preserve">Lemma 4 example</w:t>
            </w:r>
          </w:p>
        </w:tc>
        <w:tc>
          <w:tcPr>
            <w:tcW w:type="dxa" w:w="3834"/>
            <w:vAlign w:val="top"/>
          </w:tcPr>
          <w:p>
            <w:pPr>
              <w:pStyle w:val="Compact"/>
              <w:spacing w:after="60" w:line="240" w:lineRule="auto"/>
              <w:jc w:val="left"/>
            </w:pPr>
            <m:oMath>
              <m:r>
                <m:t>0.6428571429</m:t>
              </m:r>
            </m:oMath>
            <w:r>
              <w:rPr>
                <w:rFonts w:ascii="Carlito" w:hAnsi="Carlito"/>
                <w:sz w:val="18"/>
              </w:rPr>
              <w:t xml:space="preserve"> </w:t>
            </w:r>
            <w:r>
              <w:rPr>
                <w:rFonts w:ascii="Carlito" w:hAnsi="Carlito"/>
                <w:sz w:val="18"/>
              </w:rPr>
              <w:t xml:space="preserve">(formula and enumeration)</w:t>
            </w:r>
          </w:p>
        </w:tc>
        <w:tc>
          <w:tcPr>
            <w:tcW w:type="dxa" w:w="3539"/>
            <w:vAlign w:val="top"/>
          </w:tcPr>
          <w:p>
            <w:pPr>
              <w:pStyle w:val="Compact"/>
              <w:spacing w:after="60" w:line="240" w:lineRule="auto"/>
              <w:jc w:val="left"/>
            </w:pPr>
            <w:r>
              <w:rPr>
                <w:rFonts w:ascii="Carlito" w:hAnsi="Carlito"/>
                <w:sz w:val="18"/>
              </w:rPr>
              <w:t xml:space="preserve">S01</w:t>
            </w:r>
            <w:r>
              <w:rPr>
                <w:rFonts w:ascii="Carlito" w:hAnsi="Carlito"/>
                <w:sz w:val="18"/>
              </w:rPr>
              <w:t xml:space="preserve"> </w:t>
            </w:r>
            <w:r>
              <w:rPr>
                <w:rStyle w:val="VerbatimChar"/>
                <w:rFonts w:ascii="Carlito" w:hAnsi="Carlito"/>
                <w:sz w:val="18"/>
              </w:rPr>
              <w:t xml:space="preserve">hypergeometric_*</w:t>
            </w:r>
          </w:p>
        </w:tc>
      </w:tr>
      <w:tr>
        <w:trPr>
          <w:cantSplit/>
        </w:trPr>
        <w:tc>
          <w:tcPr>
            <w:tcW w:type="dxa" w:w="2458"/>
            <w:vAlign w:val="top"/>
          </w:tcPr>
          <w:p>
            <w:pPr>
              <w:pStyle w:val="Compact"/>
              <w:spacing w:after="60" w:line="240" w:lineRule="auto"/>
              <w:jc w:val="left"/>
            </w:pPr>
            <w:r>
              <w:rPr>
                <w:rFonts w:ascii="Carlito" w:hAnsi="Carlito"/>
                <w:sz w:val="18"/>
              </w:rPr>
              <w:t xml:space="preserve">Proposition 3 checks, Table 1</w:t>
            </w:r>
          </w:p>
        </w:tc>
        <w:tc>
          <w:tcPr>
            <w:tcW w:type="dxa" w:w="3834"/>
            <w:vAlign w:val="top"/>
          </w:tcPr>
          <w:p>
            <w:pPr>
              <w:pStyle w:val="Compact"/>
              <w:spacing w:after="60" w:line="240" w:lineRule="auto"/>
              <w:jc w:val="left"/>
            </w:pPr>
            <w:r>
              <w:rPr>
                <w:rFonts w:ascii="Carlito" w:hAnsi="Carlito"/>
                <w:sz w:val="18"/>
              </w:rPr>
              <w:t xml:space="preserve">as tabulated</w:t>
            </w:r>
          </w:p>
        </w:tc>
        <w:tc>
          <w:tcPr>
            <w:tcW w:type="dxa" w:w="3539"/>
            <w:vAlign w:val="top"/>
          </w:tcPr>
          <w:p>
            <w:pPr>
              <w:pStyle w:val="Compact"/>
              <w:spacing w:after="60" w:line="240" w:lineRule="auto"/>
              <w:jc w:val="left"/>
            </w:pPr>
            <w:r>
              <w:rPr>
                <w:rFonts w:ascii="Carlito" w:hAnsi="Carlito"/>
                <w:sz w:val="18"/>
              </w:rPr>
              <w:t xml:space="preserve">S03</w:t>
            </w:r>
            <w:r>
              <w:rPr>
                <w:rFonts w:ascii="Carlito" w:hAnsi="Carlito"/>
                <w:sz w:val="18"/>
              </w:rPr>
              <w:t xml:space="preserve"> </w:t>
            </w:r>
            <w:r>
              <w:rPr>
                <w:rStyle w:val="VerbatimChar"/>
                <w:rFonts w:ascii="Carlito" w:hAnsi="Carlito"/>
                <w:sz w:val="18"/>
              </w:rPr>
              <w:t xml:space="preserve">A_haar_fragments</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B_dynamics</w:t>
            </w:r>
          </w:p>
        </w:tc>
      </w:tr>
      <w:tr>
        <w:trPr>
          <w:cantSplit/>
        </w:trPr>
        <w:tc>
          <w:tcPr>
            <w:tcW w:type="dxa" w:w="2458"/>
            <w:vAlign w:val="top"/>
          </w:tcPr>
          <w:p>
            <w:pPr>
              <w:pStyle w:val="Compact"/>
              <w:spacing w:after="60" w:line="240" w:lineRule="auto"/>
              <w:jc w:val="left"/>
            </w:pPr>
            <w:r>
              <w:rPr>
                <w:rFonts w:ascii="Carlito" w:hAnsi="Carlito"/>
                <w:sz w:val="18"/>
              </w:rPr>
              <w:t xml:space="preserve">Table 2</w:t>
            </w:r>
          </w:p>
        </w:tc>
        <w:tc>
          <w:tcPr>
            <w:tcW w:type="dxa" w:w="3834"/>
            <w:vAlign w:val="top"/>
          </w:tcPr>
          <w:p>
            <w:pPr>
              <w:pStyle w:val="Compact"/>
              <w:spacing w:after="60" w:line="240" w:lineRule="auto"/>
              <w:jc w:val="left"/>
            </w:pPr>
            <w:r>
              <w:rPr>
                <w:rFonts w:ascii="Carlito" w:hAnsi="Carlito"/>
                <w:sz w:val="18"/>
              </w:rPr>
              <w:t xml:space="preserve">as tabulated</w:t>
            </w:r>
          </w:p>
        </w:tc>
        <w:tc>
          <w:tcPr>
            <w:tcW w:type="dxa" w:w="3539"/>
            <w:vAlign w:val="top"/>
          </w:tcPr>
          <w:p>
            <w:pPr>
              <w:pStyle w:val="Compact"/>
              <w:spacing w:after="60" w:line="240" w:lineRule="auto"/>
              <w:jc w:val="left"/>
            </w:pPr>
            <w:r>
              <w:rPr>
                <w:rFonts w:ascii="Carlito" w:hAnsi="Carlito"/>
                <w:sz w:val="18"/>
              </w:rPr>
              <w:t xml:space="preserve">S04</w:t>
            </w:r>
            <w:r>
              <w:rPr>
                <w:rFonts w:ascii="Carlito" w:hAnsi="Carlito"/>
                <w:sz w:val="18"/>
              </w:rPr>
              <w:t xml:space="preserve"> </w:t>
            </w:r>
            <w:r>
              <w:rPr>
                <w:rStyle w:val="VerbatimChar"/>
                <w:rFonts w:ascii="Carlito" w:hAnsi="Carlito"/>
                <w:sz w:val="18"/>
              </w:rPr>
              <w:t xml:space="preserve">duplicate_inflation</w:t>
            </w:r>
          </w:p>
        </w:tc>
      </w:tr>
      <w:tr>
        <w:trPr>
          <w:cantSplit/>
        </w:trPr>
        <w:tc>
          <w:tcPr>
            <w:tcW w:type="dxa" w:w="2458"/>
            <w:vAlign w:val="top"/>
          </w:tcPr>
          <w:p>
            <w:pPr>
              <w:pStyle w:val="Compact"/>
              <w:spacing w:after="60" w:line="240" w:lineRule="auto"/>
              <w:jc w:val="left"/>
            </w:pPr>
            <w:r>
              <w:rPr>
                <w:rFonts w:ascii="Carlito" w:hAnsi="Carlito"/>
                <w:sz w:val="18"/>
              </w:rPr>
              <w:t xml:space="preserve">Hoeffding half-widths</w:t>
            </w:r>
          </w:p>
        </w:tc>
        <w:tc>
          <w:tcPr>
            <w:tcW w:type="dxa" w:w="3834"/>
            <w:vAlign w:val="top"/>
          </w:tcPr>
          <w:p>
            <w:pPr>
              <w:pStyle w:val="Compact"/>
              <w:spacing w:after="60" w:line="240" w:lineRule="auto"/>
              <w:jc w:val="left"/>
            </w:pPr>
            <m:oMath>
              <m:r>
                <m:t>0.200</m:t>
              </m:r>
            </m:oMath>
            <w:r>
              <w:rPr>
                <w:rFonts w:ascii="Carlito" w:hAnsi="Carlito"/>
                <w:sz w:val="18"/>
              </w:rPr>
              <w:t xml:space="preserve">,</w:t>
            </w:r>
            <w:r>
              <w:rPr>
                <w:rFonts w:ascii="Carlito" w:hAnsi="Carlito"/>
                <w:sz w:val="18"/>
              </w:rPr>
              <w:t xml:space="preserve"> </w:t>
            </w:r>
            <m:oMath>
              <m:r>
                <m:t>0.100</m:t>
              </m:r>
            </m:oMath>
            <w:r>
              <w:rPr>
                <w:rFonts w:ascii="Carlito" w:hAnsi="Carlito"/>
                <w:sz w:val="18"/>
              </w:rPr>
              <w:t xml:space="preserve">,</w:t>
            </w:r>
            <w:r>
              <w:rPr>
                <w:rFonts w:ascii="Carlito" w:hAnsi="Carlito"/>
                <w:sz w:val="18"/>
              </w:rPr>
              <w:t xml:space="preserve"> </w:t>
            </w:r>
            <m:oMath>
              <m:r>
                <m:t>0.050</m:t>
              </m:r>
            </m:oMath>
          </w:p>
        </w:tc>
        <w:tc>
          <w:tcPr>
            <w:tcW w:type="dxa" w:w="3539"/>
            <w:vAlign w:val="top"/>
          </w:tcPr>
          <w:p>
            <w:pPr>
              <w:pStyle w:val="Compact"/>
              <w:spacing w:after="60" w:line="240" w:lineRule="auto"/>
              <w:jc w:val="left"/>
            </w:pPr>
            <w:r>
              <w:rPr>
                <w:rFonts w:ascii="Carlito" w:hAnsi="Carlito"/>
                <w:sz w:val="18"/>
              </w:rPr>
              <w:t xml:space="preserve">S01</w:t>
            </w:r>
            <w:r>
              <w:rPr>
                <w:rFonts w:ascii="Carlito" w:hAnsi="Carlito"/>
                <w:sz w:val="18"/>
              </w:rPr>
              <w:t xml:space="preserve"> </w:t>
            </w:r>
            <w:r>
              <w:rPr>
                <w:rStyle w:val="VerbatimChar"/>
                <w:rFonts w:ascii="Carlito" w:hAnsi="Carlito"/>
                <w:sz w:val="18"/>
              </w:rPr>
              <w:t xml:space="preserve">hoeffding_half_width</w:t>
            </w:r>
          </w:p>
        </w:tc>
      </w:tr>
      <w:tr>
        <w:trPr>
          <w:cantSplit/>
        </w:trPr>
        <w:tc>
          <w:tcPr>
            <w:tcW w:type="dxa" w:w="2458"/>
            <w:vAlign w:val="top"/>
          </w:tcPr>
          <w:p>
            <w:pPr>
              <w:pStyle w:val="Compact"/>
              <w:spacing w:after="60" w:line="240" w:lineRule="auto"/>
              <w:jc w:val="left"/>
            </w:pPr>
            <w:r>
              <w:rPr>
                <w:rFonts w:ascii="Carlito" w:hAnsi="Carlito"/>
                <w:sz w:val="18"/>
              </w:rPr>
              <w:t xml:space="preserve">Supplement Tables S4 to S6</w:t>
            </w:r>
          </w:p>
        </w:tc>
        <w:tc>
          <w:tcPr>
            <w:tcW w:type="dxa" w:w="3834"/>
            <w:vAlign w:val="top"/>
          </w:tcPr>
          <w:p>
            <w:pPr>
              <w:pStyle w:val="Compact"/>
              <w:spacing w:after="60" w:line="240" w:lineRule="auto"/>
              <w:jc w:val="left"/>
            </w:pPr>
            <w:r>
              <w:rPr>
                <w:rFonts w:ascii="Carlito" w:hAnsi="Carlito"/>
                <w:sz w:val="18"/>
              </w:rPr>
              <w:t xml:space="preserve">as tabulated</w:t>
            </w:r>
          </w:p>
        </w:tc>
        <w:tc>
          <w:tcPr>
            <w:tcW w:type="dxa" w:w="3539"/>
            <w:vAlign w:val="top"/>
          </w:tcPr>
          <w:p>
            <w:pPr>
              <w:pStyle w:val="Compact"/>
              <w:spacing w:after="60" w:line="240" w:lineRule="auto"/>
              <w:jc w:val="left"/>
            </w:pPr>
            <w:r>
              <w:rPr>
                <w:rFonts w:ascii="Carlito" w:hAnsi="Carlito"/>
                <w:sz w:val="18"/>
              </w:rPr>
              <w:t xml:space="preserve">S05</w:t>
            </w:r>
            <w:r>
              <w:rPr>
                <w:rFonts w:ascii="Carlito" w:hAnsi="Carlito"/>
                <w:sz w:val="18"/>
              </w:rPr>
              <w:t xml:space="preserve"> </w:t>
            </w:r>
            <w:r>
              <w:rPr>
                <w:rStyle w:val="VerbatimChar"/>
                <w:rFonts w:ascii="Carlito" w:hAnsi="Carlito"/>
                <w:sz w:val="18"/>
              </w:rPr>
              <w:t xml:space="preserve">e1</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e2</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e3</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e4</w:t>
            </w:r>
            <w:r>
              <w:rPr>
                <w:rFonts w:ascii="Carlito" w:hAnsi="Carlito"/>
                <w:sz w:val="18"/>
              </w:rPr>
              <w:t xml:space="preserve"> </w:t>
            </w:r>
            <w:r>
              <w:rPr>
                <w:rFonts w:ascii="Carlito" w:hAnsi="Carlito"/>
                <w:sz w:val="18"/>
              </w:rPr>
              <w:t xml:space="preserve">in the exploratory output</w:t>
            </w:r>
          </w:p>
        </w:tc>
      </w:tr>
      <w:tr>
        <w:trPr>
          <w:cantSplit/>
        </w:trPr>
        <w:tc>
          <w:tcPr>
            <w:tcW w:type="dxa" w:w="2458"/>
            <w:vAlign w:val="top"/>
          </w:tcPr>
          <w:p>
            <w:pPr>
              <w:pStyle w:val="Compact"/>
              <w:spacing w:after="60" w:line="240" w:lineRule="auto"/>
              <w:jc w:val="left"/>
            </w:pPr>
            <w:r>
              <w:rPr>
                <w:rFonts w:ascii="Carlito" w:hAnsi="Carlito"/>
                <w:sz w:val="18"/>
              </w:rPr>
              <w:t xml:space="preserve">Supplement Section S2.5</w:t>
            </w:r>
          </w:p>
        </w:tc>
        <w:tc>
          <w:tcPr>
            <w:tcW w:type="dxa" w:w="3834"/>
            <w:vAlign w:val="top"/>
          </w:tcPr>
          <w:p>
            <w:pPr>
              <w:pStyle w:val="Compact"/>
              <w:spacing w:after="60" w:line="240" w:lineRule="auto"/>
              <w:jc w:val="left"/>
            </w:pPr>
            <w:r>
              <w:rPr>
                <w:rFonts w:ascii="Carlito" w:hAnsi="Carlito"/>
                <w:sz w:val="18"/>
              </w:rPr>
              <w:t xml:space="preserve">as stated</w:t>
            </w:r>
          </w:p>
        </w:tc>
        <w:tc>
          <w:tcPr>
            <w:tcW w:type="dxa" w:w="3539"/>
            <w:vAlign w:val="top"/>
          </w:tcPr>
          <w:p>
            <w:pPr>
              <w:pStyle w:val="Compact"/>
              <w:spacing w:after="60" w:line="240" w:lineRule="auto"/>
              <w:jc w:val="left"/>
            </w:pPr>
            <w:r>
              <w:rPr>
                <w:rFonts w:ascii="Carlito" w:hAnsi="Carlito"/>
                <w:sz w:val="18"/>
              </w:rPr>
              <w:t xml:space="preserve">S05 replication output</w:t>
            </w:r>
          </w:p>
        </w:tc>
      </w:tr>
      <w:tr>
        <w:trPr>
          <w:cantSplit/>
        </w:trPr>
        <w:tc>
          <w:tcPr>
            <w:tcW w:type="dxa" w:w="2458"/>
            <w:vAlign w:val="top"/>
          </w:tcPr>
          <w:p>
            <w:pPr>
              <w:pStyle w:val="Compact"/>
              <w:spacing w:after="60" w:line="240" w:lineRule="auto"/>
              <w:jc w:val="left"/>
            </w:pPr>
            <w:r>
              <w:rPr>
                <w:rFonts w:ascii="Carlito" w:hAnsi="Carlito"/>
                <w:sz w:val="18"/>
              </w:rPr>
              <w:t xml:space="preserve">Legacy S06 span checks</w:t>
            </w:r>
          </w:p>
        </w:tc>
        <w:tc>
          <w:tcPr>
            <w:tcW w:type="dxa" w:w="3834"/>
            <w:vAlign w:val="top"/>
          </w:tcPr>
          <w:p>
            <w:pPr>
              <w:pStyle w:val="Compact"/>
              <w:spacing w:after="60" w:line="240" w:lineRule="auto"/>
              <w:jc w:val="left"/>
            </w:pPr>
            <m:oMath>
              <m:r>
                <m:t>0</m:t>
              </m:r>
            </m:oMath>
            <w:r>
              <w:rPr>
                <w:rFonts w:ascii="Carlito" w:hAnsi="Carlito"/>
                <w:sz w:val="18"/>
              </w:rPr>
              <w:t xml:space="preserve">;</w:t>
            </w:r>
            <w:r>
              <w:rPr>
                <w:rFonts w:ascii="Carlito" w:hAnsi="Carlito"/>
                <w:sz w:val="18"/>
              </w:rPr>
              <w:t xml:space="preserve"> </w:t>
            </w:r>
            <m:oMath>
              <m:r>
                <m:t>7</m:t>
              </m:r>
              <m:r>
                <m:rPr>
                  <m:sty m:val="p"/>
                </m:rPr>
                <m:t>×</m:t>
              </m:r>
              <m:sSup>
                <m:e>
                  <m:r>
                    <m:t>10</m:t>
                  </m:r>
                </m:e>
                <m:sup>
                  <m:r>
                    <m:rPr>
                      <m:sty m:val="p"/>
                    </m:rPr>
                    <m:t>−</m:t>
                  </m:r>
                  <m:r>
                    <m:t>16</m:t>
                  </m:r>
                </m:sup>
              </m:sSup>
            </m:oMath>
            <w:r>
              <w:rPr>
                <w:rFonts w:ascii="Carlito" w:hAnsi="Carlito"/>
                <w:sz w:val="18"/>
              </w:rPr>
              <w:t xml:space="preserve">;</w:t>
            </w:r>
            <w:r>
              <w:rPr>
                <w:rFonts w:ascii="Carlito" w:hAnsi="Carlito"/>
                <w:sz w:val="18"/>
              </w:rPr>
              <w:t xml:space="preserve"> </w:t>
            </w:r>
            <m:oMath>
              <m:r>
                <m:t>0.4166</m:t>
              </m:r>
            </m:oMath>
            <w:r>
              <w:rPr>
                <w:rFonts w:ascii="Carlito" w:hAnsi="Carlito"/>
                <w:sz w:val="18"/>
              </w:rPr>
              <w:t xml:space="preserve"> </w:t>
            </w:r>
            <w:r>
              <w:rPr>
                <w:rFonts w:ascii="Carlito" w:hAnsi="Carlito"/>
                <w:sz w:val="18"/>
              </w:rPr>
              <w:t xml:space="preserve">versus</w:t>
            </w:r>
            <w:r>
              <w:rPr>
                <w:rFonts w:ascii="Carlito" w:hAnsi="Carlito"/>
                <w:sz w:val="18"/>
              </w:rPr>
              <w:t xml:space="preserve"> </w:t>
            </w:r>
            <m:oMath>
              <m:r>
                <m:t>0.4170</m:t>
              </m:r>
            </m:oMath>
          </w:p>
        </w:tc>
        <w:tc>
          <w:tcPr>
            <w:tcW w:type="dxa" w:w="3539"/>
            <w:vAlign w:val="top"/>
          </w:tcPr>
          <w:p>
            <w:pPr>
              <w:pStyle w:val="Compact"/>
              <w:spacing w:after="60" w:line="240" w:lineRule="auto"/>
              <w:jc w:val="left"/>
            </w:pPr>
            <w:r>
              <w:rPr>
                <w:rFonts w:ascii="Carlito" w:hAnsi="Carlito"/>
                <w:sz w:val="18"/>
              </w:rPr>
              <w:t xml:space="preserve">S06</w:t>
            </w:r>
          </w:p>
        </w:tc>
      </w:tr>
      <w:tr>
        <w:trPr>
          <w:cantSplit/>
        </w:trPr>
        <w:tc>
          <w:tcPr>
            <w:tcW w:type="dxa" w:w="2458"/>
            <w:vAlign w:val="top"/>
          </w:tcPr>
          <w:p>
            <w:pPr>
              <w:pStyle w:val="Compact"/>
              <w:spacing w:after="60" w:line="240" w:lineRule="auto"/>
              <w:jc w:val="left"/>
            </w:pPr>
            <w:r>
              <w:rPr>
                <w:rFonts w:ascii="Carlito" w:hAnsi="Carlito"/>
                <w:sz w:val="18"/>
              </w:rPr>
              <w:t xml:space="preserve">Mixed twirl, historical v1.5</w:t>
            </w:r>
          </w:p>
        </w:tc>
        <w:tc>
          <w:tcPr>
            <w:tcW w:type="dxa" w:w="3834"/>
            <w:vAlign w:val="top"/>
          </w:tcPr>
          <w:p>
            <w:pPr>
              <w:pStyle w:val="Compact"/>
              <w:spacing w:after="60" w:line="240" w:lineRule="auto"/>
              <w:jc w:val="left"/>
            </w:pPr>
            <w:r>
              <w:rPr>
                <w:rFonts w:ascii="Carlito" w:hAnsi="Carlito"/>
                <w:sz w:val="18"/>
              </w:rPr>
              <w:t xml:space="preserve">2,000 draws; mean</w:t>
            </w:r>
            <w:r>
              <w:rPr>
                <w:rFonts w:ascii="Carlito" w:hAnsi="Carlito"/>
                <w:sz w:val="18"/>
              </w:rPr>
              <w:t xml:space="preserve"> </w:t>
            </w:r>
            <m:oMath>
              <m:r>
                <m:t>0.0557464152</m:t>
              </m:r>
            </m:oMath>
            <w:r>
              <w:rPr>
                <w:rFonts w:ascii="Carlito" w:hAnsi="Carlito"/>
                <w:sz w:val="18"/>
              </w:rPr>
              <w:t xml:space="preserve">; SE</w:t>
            </w:r>
            <w:r>
              <w:rPr>
                <w:rFonts w:ascii="Carlito" w:hAnsi="Carlito"/>
                <w:sz w:val="18"/>
              </w:rPr>
              <w:t xml:space="preserve"> </w:t>
            </w:r>
            <m:oMath>
              <m:r>
                <m:t>0.0007264476</m:t>
              </m:r>
            </m:oMath>
          </w:p>
        </w:tc>
        <w:tc>
          <w:tcPr>
            <w:tcW w:type="dxa" w:w="3539"/>
            <w:vAlign w:val="top"/>
          </w:tcPr>
          <w:p>
            <w:pPr>
              <w:pStyle w:val="Compact"/>
              <w:spacing w:after="60" w:line="240" w:lineRule="auto"/>
              <w:jc w:val="left"/>
            </w:pPr>
            <w:r>
              <w:rPr>
                <w:rFonts w:ascii="Carlito" w:hAnsi="Carlito"/>
                <w:sz w:val="18"/>
              </w:rPr>
              <w:t xml:space="preserve">Archived W03 v1.1, Section 6; not the CAL-1.6 sample</w:t>
            </w:r>
          </w:p>
        </w:tc>
      </w:tr>
      <w:tr>
        <w:trPr>
          <w:cantSplit/>
        </w:trPr>
        <w:tc>
          <w:tcPr>
            <w:tcW w:type="dxa" w:w="2458"/>
            <w:vAlign w:val="top"/>
          </w:tcPr>
          <w:p>
            <w:pPr>
              <w:pStyle w:val="Compact"/>
              <w:spacing w:after="60" w:line="240" w:lineRule="auto"/>
              <w:jc w:val="left"/>
            </w:pPr>
            <w:r>
              <w:rPr>
                <w:rFonts w:ascii="Carlito" w:hAnsi="Carlito"/>
                <w:sz w:val="18"/>
              </w:rPr>
              <w:t xml:space="preserve">Mixed twirl, CAL-1.6</w:t>
            </w:r>
          </w:p>
        </w:tc>
        <w:tc>
          <w:tcPr>
            <w:tcW w:type="dxa" w:w="3834"/>
            <w:vAlign w:val="top"/>
          </w:tcPr>
          <w:p>
            <w:pPr>
              <w:pStyle w:val="Compact"/>
              <w:spacing w:after="60" w:line="240" w:lineRule="auto"/>
              <w:jc w:val="left"/>
            </w:pPr>
            <w:r>
              <w:rPr>
                <w:rFonts w:ascii="Carlito" w:hAnsi="Carlito"/>
                <w:sz w:val="18"/>
              </w:rPr>
              <w:t xml:space="preserve">1,200 draws; mean</w:t>
            </w:r>
            <w:r>
              <w:rPr>
                <w:rFonts w:ascii="Carlito" w:hAnsi="Carlito"/>
                <w:sz w:val="18"/>
              </w:rPr>
              <w:t xml:space="preserve"> </w:t>
            </w:r>
            <m:oMath>
              <m:r>
                <m:t>0.05550839355</m:t>
              </m:r>
            </m:oMath>
            <w:r>
              <w:rPr>
                <w:rFonts w:ascii="Carlito" w:hAnsi="Carlito"/>
                <w:sz w:val="18"/>
              </w:rPr>
              <w:t xml:space="preserve">; SE</w:t>
            </w:r>
            <w:r>
              <w:rPr>
                <w:rFonts w:ascii="Carlito" w:hAnsi="Carlito"/>
                <w:sz w:val="18"/>
              </w:rPr>
              <w:t xml:space="preserve"> </w:t>
            </w:r>
            <m:oMath>
              <m:r>
                <m:t>0.00093479233</m:t>
              </m:r>
            </m:oMath>
            <w:r>
              <w:rPr>
                <w:rFonts w:ascii="Carlito" w:hAnsi="Carlito"/>
                <w:sz w:val="18"/>
              </w:rPr>
              <w:t xml:space="preserve">; exact</w:t>
            </w:r>
            <w:r>
              <w:rPr>
                <w:rFonts w:ascii="Carlito" w:hAnsi="Carlito"/>
                <w:sz w:val="18"/>
              </w:rPr>
              <w:t xml:space="preserve"> </w:t>
            </w:r>
            <m:oMath>
              <m:r>
                <m:t>0.056</m:t>
              </m:r>
            </m:oMath>
          </w:p>
        </w:tc>
        <w:tc>
          <w:tcPr>
            <w:tcW w:type="dxa" w:w="3539"/>
            <w:vAlign w:val="top"/>
          </w:tcPr>
          <w:p>
            <w:pPr>
              <w:pStyle w:val="Compact"/>
              <w:spacing w:after="60" w:line="240" w:lineRule="auto"/>
              <w:jc w:val="left"/>
            </w:pPr>
            <w:r>
              <w:rPr>
                <w:rStyle w:val="VerbatimChar"/>
                <w:rFonts w:ascii="Carlito" w:hAnsi="Carlito"/>
                <w:sz w:val="18"/>
              </w:rPr>
              <w:t xml:space="preserve">historical/supporting_lineage/v1_6_data/results.json</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mixed_summary</w:t>
            </w:r>
            <w:r>
              <w:rPr>
                <w:rFonts w:ascii="Carlito" w:hAnsi="Carlito"/>
                <w:sz w:val="18"/>
              </w:rPr>
              <w:t xml:space="preserve">; full draws in</w:t>
            </w:r>
            <w:r>
              <w:rPr>
                <w:rFonts w:ascii="Carlito" w:hAnsi="Carlito"/>
                <w:sz w:val="18"/>
              </w:rPr>
              <w:t xml:space="preserve"> </w:t>
            </w:r>
            <w:r>
              <w:rPr>
                <w:rStyle w:val="VerbatimChar"/>
                <w:rFonts w:ascii="Carlito" w:hAnsi="Carlito"/>
                <w:sz w:val="18"/>
              </w:rPr>
              <w:t xml:space="preserve">mixed_draws.csv</w:t>
            </w:r>
          </w:p>
        </w:tc>
      </w:tr>
      <w:tr>
        <w:trPr>
          <w:cantSplit/>
        </w:trPr>
        <w:tc>
          <w:tcPr>
            <w:tcW w:type="dxa" w:w="2458"/>
            <w:vAlign w:val="top"/>
          </w:tcPr>
          <w:p>
            <w:pPr>
              <w:pStyle w:val="Compact"/>
              <w:spacing w:after="60" w:line="240" w:lineRule="auto"/>
              <w:jc w:val="left"/>
            </w:pPr>
            <w:r>
              <w:rPr>
                <w:rFonts w:ascii="Carlito" w:hAnsi="Carlito"/>
                <w:sz w:val="18"/>
              </w:rPr>
              <w:t xml:space="preserve">Proposition 5a endpoint constant</w:t>
            </w:r>
          </w:p>
        </w:tc>
        <w:tc>
          <w:tcPr>
            <w:tcW w:type="dxa" w:w="3834"/>
            <w:vAlign w:val="top"/>
          </w:tcPr>
          <w:p>
            <w:pPr>
              <w:pStyle w:val="Compact"/>
              <w:spacing w:after="60" w:line="240" w:lineRule="auto"/>
              <w:jc w:val="left"/>
            </w:pPr>
            <m:oMath>
              <m:rad>
                <m:radPr>
                  <m:degHide m:val="on"/>
                </m:radPr>
                <m:deg/>
                <m:e>
                  <m:r>
                    <m:t>1.0025</m:t>
                  </m:r>
                </m:e>
              </m:rad>
              <m:r>
                <m:rPr>
                  <m:sty m:val="p"/>
                </m:rPr>
                <m:t>=</m:t>
              </m:r>
              <m:r>
                <m:t>1.0012492197</m:t>
              </m:r>
            </m:oMath>
            <w:r>
              <w:rPr>
                <w:rFonts w:ascii="Carlito" w:hAnsi="Carlito"/>
                <w:sz w:val="18"/>
              </w:rPr>
              <w:t xml:space="preserve"> </w:t>
            </w:r>
            <w:r>
              <w:rPr>
                <w:rFonts w:ascii="Carlito" w:hAnsi="Carlito"/>
                <w:sz w:val="18"/>
              </w:rPr>
              <w:t xml:space="preserve">at</w:t>
            </w:r>
            <w:r>
              <w:rPr>
                <w:rFonts w:ascii="Carlito" w:hAnsi="Carlito"/>
                <w:sz w:val="18"/>
              </w:rPr>
              <w:t xml:space="preserve"> </w:t>
            </w:r>
            <m:oMath>
              <m:r>
                <m:t>n</m:t>
              </m:r>
              <m:r>
                <m:rPr>
                  <m:sty m:val="p"/>
                </m:rPr>
                <m:t>=</m:t>
              </m:r>
              <m:r>
                <m:t>2</m:t>
              </m:r>
              <m:r>
                <m:rPr>
                  <m:sty m:val="p"/>
                </m:rPr>
                <m:t>,</m:t>
              </m:r>
              <m:r>
                <m:t>4</m:t>
              </m:r>
              <m:r>
                <m:rPr>
                  <m:sty m:val="p"/>
                </m:rPr>
                <m:t>,</m:t>
              </m:r>
              <m:r>
                <m:t>6</m:t>
              </m:r>
            </m:oMath>
          </w:p>
        </w:tc>
        <w:tc>
          <w:tcPr>
            <w:tcW w:type="dxa" w:w="3539"/>
            <w:vAlign w:val="top"/>
          </w:tcPr>
          <w:p>
            <w:pPr>
              <w:pStyle w:val="Compact"/>
              <w:spacing w:after="60" w:line="240" w:lineRule="auto"/>
              <w:jc w:val="left"/>
            </w:pPr>
            <w:r>
              <w:rPr>
                <w:rStyle w:val="VerbatimChar"/>
                <w:rFonts w:ascii="Carlito" w:hAnsi="Carlito"/>
                <w:sz w:val="18"/>
              </w:rPr>
              <w:t xml:space="preserve">historical/supporting_lineage/v1_6_data/localized_constants.csv</w:t>
            </w:r>
          </w:p>
        </w:tc>
      </w:tr>
      <w:tr>
        <w:trPr>
          <w:cantSplit/>
        </w:trPr>
        <w:tc>
          <w:tcPr>
            <w:tcW w:type="dxa" w:w="2458"/>
            <w:vAlign w:val="top"/>
          </w:tcPr>
          <w:p>
            <w:pPr>
              <w:pStyle w:val="Compact"/>
              <w:spacing w:after="60" w:line="240" w:lineRule="auto"/>
              <w:jc w:val="left"/>
            </w:pPr>
            <w:r>
              <w:rPr>
                <w:rFonts w:ascii="Carlito" w:hAnsi="Carlito"/>
                <w:sz w:val="18"/>
              </w:rPr>
              <w:t xml:space="preserve">Proposition 6 spectator</w:t>
            </w:r>
          </w:p>
        </w:tc>
        <w:tc>
          <w:tcPr>
            <w:tcW w:type="dxa" w:w="3834"/>
            <w:vAlign w:val="top"/>
          </w:tcPr>
          <w:p>
            <w:pPr>
              <w:pStyle w:val="Compact"/>
              <w:spacing w:after="60" w:line="240" w:lineRule="auto"/>
              <w:jc w:val="left"/>
            </w:pPr>
            <w:r>
              <w:rPr>
                <w:rFonts w:ascii="Carlito" w:hAnsi="Carlito"/>
                <w:sz w:val="18"/>
              </w:rPr>
              <w:t xml:space="preserve">error difference approximately</w:t>
            </w:r>
            <w:r>
              <w:rPr>
                <w:rFonts w:ascii="Carlito" w:hAnsi="Carlito"/>
                <w:sz w:val="18"/>
              </w:rPr>
              <w:t xml:space="preserve"> </w:t>
            </w:r>
            <m:oMath>
              <m:r>
                <m:t>8.44</m:t>
              </m:r>
              <m:r>
                <m:rPr>
                  <m:sty m:val="p"/>
                </m:rPr>
                <m:t>×</m:t>
              </m:r>
              <m:sSup>
                <m:e>
                  <m:r>
                    <m:t>10</m:t>
                  </m:r>
                </m:e>
                <m:sup>
                  <m:r>
                    <m:rPr>
                      <m:sty m:val="p"/>
                    </m:rPr>
                    <m:t>−</m:t>
                  </m:r>
                  <m:r>
                    <m:t>15</m:t>
                  </m:r>
                </m:sup>
              </m:sSup>
            </m:oMath>
            <w:r>
              <w:rPr>
                <w:rFonts w:ascii="Carlito" w:hAnsi="Carlito"/>
                <w:sz w:val="18"/>
              </w:rPr>
              <w:t xml:space="preserve"> </w:t>
            </w:r>
            <w:r>
              <w:rPr>
                <w:rFonts w:ascii="Carlito" w:hAnsi="Carlito"/>
                <w:sz w:val="18"/>
              </w:rPr>
              <w:t xml:space="preserve">against a loose bound</w:t>
            </w:r>
            <w:r>
              <w:rPr>
                <w:rFonts w:ascii="Carlito" w:hAnsi="Carlito"/>
                <w:sz w:val="18"/>
              </w:rPr>
              <w:t xml:space="preserve"> </w:t>
            </w:r>
            <m:oMath>
              <m:r>
                <m:t>78.53981634</m:t>
              </m:r>
            </m:oMath>
          </w:p>
        </w:tc>
        <w:tc>
          <w:tcPr>
            <w:tcW w:type="dxa" w:w="3539"/>
            <w:vAlign w:val="top"/>
          </w:tcPr>
          <w:p>
            <w:pPr>
              <w:pStyle w:val="Compact"/>
              <w:spacing w:after="60" w:line="240" w:lineRule="auto"/>
              <w:jc w:val="left"/>
            </w:pPr>
            <w:r>
              <w:rPr>
                <w:rStyle w:val="VerbatimChar"/>
                <w:rFonts w:ascii="Carlito" w:hAnsi="Carlito"/>
                <w:sz w:val="18"/>
              </w:rPr>
              <w:t xml:space="preserve">historical/supporting_lineage/v1_6_data/results.json</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spectator</w:t>
            </w:r>
          </w:p>
        </w:tc>
      </w:tr>
      <w:tr>
        <w:trPr>
          <w:cantSplit/>
        </w:trPr>
        <w:tc>
          <w:tcPr>
            <w:tcW w:type="dxa" w:w="2458"/>
            <w:vAlign w:val="top"/>
          </w:tcPr>
          <w:p>
            <w:pPr>
              <w:pStyle w:val="Compact"/>
              <w:spacing w:after="60" w:line="240" w:lineRule="auto"/>
              <w:jc w:val="left"/>
            </w:pPr>
            <w:r>
              <w:rPr>
                <w:rFonts w:ascii="Carlito" w:hAnsi="Carlito"/>
                <w:sz w:val="18"/>
              </w:rPr>
              <w:t xml:space="preserve">Unequal certificate example</w:t>
            </w:r>
          </w:p>
        </w:tc>
        <w:tc>
          <w:tcPr>
            <w:tcW w:type="dxa" w:w="3834"/>
            <w:vAlign w:val="top"/>
          </w:tcPr>
          <w:p>
            <w:pPr>
              <w:pStyle w:val="Compact"/>
              <w:spacing w:after="60" w:line="240" w:lineRule="auto"/>
              <w:jc w:val="left"/>
            </w:pPr>
            <m:oMath>
              <m:r>
                <m:t>0.0995</m:t>
              </m:r>
            </m:oMath>
            <w:r>
              <w:rPr>
                <w:rFonts w:ascii="Carlito" w:hAnsi="Carlito"/>
                <w:sz w:val="18"/>
              </w:rPr>
              <w:t xml:space="preserve"> </w:t>
            </w:r>
            <w:r>
              <w:rPr>
                <w:rFonts w:ascii="Carlito" w:hAnsi="Carlito"/>
                <w:sz w:val="18"/>
              </w:rPr>
              <w:t xml:space="preserve">and</w:t>
            </w:r>
            <w:r>
              <w:rPr>
                <w:rFonts w:ascii="Carlito" w:hAnsi="Carlito"/>
                <w:sz w:val="18"/>
              </w:rPr>
              <w:t xml:space="preserve"> </w:t>
            </w:r>
            <m:oMath>
              <m:r>
                <m:t>0.104</m:t>
              </m:r>
            </m:oMath>
            <w:r>
              <w:rPr>
                <w:rFonts w:ascii="Carlito" w:hAnsi="Carlito"/>
                <w:sz w:val="18"/>
              </w:rPr>
              <w:t xml:space="preserve">, same true error</w:t>
            </w:r>
            <w:r>
              <w:rPr>
                <w:rFonts w:ascii="Carlito" w:hAnsi="Carlito"/>
                <w:sz w:val="18"/>
              </w:rPr>
              <w:t xml:space="preserve"> </w:t>
            </w:r>
            <m:oMath>
              <m:r>
                <m:t>0.099</m:t>
              </m:r>
            </m:oMath>
          </w:p>
        </w:tc>
        <w:tc>
          <w:tcPr>
            <w:tcW w:type="dxa" w:w="3539"/>
            <w:vAlign w:val="top"/>
          </w:tcPr>
          <w:p>
            <w:pPr>
              <w:pStyle w:val="Compact"/>
              <w:spacing w:after="60" w:line="240" w:lineRule="auto"/>
              <w:jc w:val="left"/>
            </w:pPr>
            <w:r>
              <w:rPr>
                <w:rFonts w:ascii="Carlito" w:hAnsi="Carlito"/>
                <w:sz w:val="18"/>
              </w:rPr>
              <w:t xml:space="preserve">Section 7.3.1, direct arithmetic; not two physical observations</w:t>
            </w:r>
          </w:p>
        </w:tc>
      </w:tr>
      <w:tr>
        <w:trPr>
          <w:cantSplit/>
        </w:trPr>
        <w:tc>
          <w:tcPr>
            <w:tcW w:type="dxa" w:w="2458"/>
            <w:vAlign w:val="top"/>
          </w:tcPr>
          <w:p>
            <w:pPr>
              <w:pStyle w:val="Compact"/>
              <w:spacing w:after="60" w:line="240" w:lineRule="auto"/>
              <w:jc w:val="left"/>
            </w:pPr>
            <w:r>
              <w:rPr>
                <w:rFonts w:ascii="Carlito" w:hAnsi="Carlito"/>
                <w:sz w:val="18"/>
              </w:rPr>
              <w:t xml:space="preserve">Proposition 7, Figure 6</w:t>
            </w:r>
          </w:p>
        </w:tc>
        <w:tc>
          <w:tcPr>
            <w:tcW w:type="dxa" w:w="3834"/>
            <w:vAlign w:val="top"/>
          </w:tcPr>
          <w:p>
            <w:pPr>
              <w:pStyle w:val="Compact"/>
              <w:spacing w:after="60" w:line="240" w:lineRule="auto"/>
              <w:jc w:val="left"/>
            </w:pPr>
            <w:r>
              <w:rPr>
                <w:rFonts w:ascii="Carlito" w:hAnsi="Carlito"/>
                <w:sz w:val="18"/>
              </w:rPr>
              <w:t xml:space="preserve">capped bound</w:t>
            </w:r>
            <w:r>
              <w:rPr>
                <w:rFonts w:ascii="Carlito" w:hAnsi="Carlito"/>
                <w:sz w:val="18"/>
              </w:rPr>
              <w:t xml:space="preserve"> </w:t>
            </w:r>
            <m:oMath>
              <m:r>
                <m:t>1</m:t>
              </m:r>
            </m:oMath>
            <w:r>
              <w:rPr>
                <w:rFonts w:ascii="Carlito" w:hAnsi="Carlito"/>
                <w:sz w:val="18"/>
              </w:rPr>
              <w:t xml:space="preserve"> </w:t>
            </w:r>
            <w:r>
              <w:rPr>
                <w:rFonts w:ascii="Carlito" w:hAnsi="Carlito"/>
                <w:sz w:val="18"/>
              </w:rPr>
              <w:t xml:space="preserve">through</w:t>
            </w:r>
            <w:r>
              <w:rPr>
                <w:rFonts w:ascii="Carlito" w:hAnsi="Carlito"/>
                <w:sz w:val="18"/>
              </w:rPr>
              <w:t xml:space="preserve"> </w:t>
            </w:r>
            <m:oMath>
              <m:r>
                <m:t>n</m:t>
              </m:r>
              <m:r>
                <m:rPr>
                  <m:sty m:val="p"/>
                </m:rPr>
                <m:t>=</m:t>
              </m:r>
              <m:r>
                <m:t>18</m:t>
              </m:r>
            </m:oMath>
            <w:r>
              <w:rPr>
                <w:rFonts w:ascii="Carlito" w:hAnsi="Carlito"/>
                <w:sz w:val="18"/>
              </w:rPr>
              <w:t xml:space="preserve">; log10 bound approximately</w:t>
            </w:r>
            <w:r>
              <w:rPr>
                <w:rFonts w:ascii="Carlito" w:hAnsi="Carlito"/>
                <w:sz w:val="18"/>
              </w:rPr>
              <w:t xml:space="preserve"> </w:t>
            </w:r>
            <m:oMath>
              <m:r>
                <m:rPr>
                  <m:sty m:val="p"/>
                </m:rPr>
                <m:t>−</m:t>
              </m:r>
              <m:r>
                <m:t>56.85</m:t>
              </m:r>
            </m:oMath>
            <w:r>
              <w:rPr>
                <w:rFonts w:ascii="Carlito" w:hAnsi="Carlito"/>
                <w:sz w:val="18"/>
              </w:rPr>
              <w:t xml:space="preserve"> </w:t>
            </w:r>
            <w:r>
              <w:rPr>
                <w:rFonts w:ascii="Carlito" w:hAnsi="Carlito"/>
                <w:sz w:val="18"/>
              </w:rPr>
              <w:t xml:space="preserve">at</w:t>
            </w:r>
            <w:r>
              <w:rPr>
                <w:rFonts w:ascii="Carlito" w:hAnsi="Carlito"/>
                <w:sz w:val="18"/>
              </w:rPr>
              <w:t xml:space="preserve"> </w:t>
            </w:r>
            <m:oMath>
              <m:r>
                <m:t>n</m:t>
              </m:r>
              <m:r>
                <m:rPr>
                  <m:sty m:val="p"/>
                </m:rPr>
                <m:t>=</m:t>
              </m:r>
              <m:r>
                <m:t>19</m:t>
              </m:r>
            </m:oMath>
          </w:p>
        </w:tc>
        <w:tc>
          <w:tcPr>
            <w:tcW w:type="dxa" w:w="3539"/>
            <w:vAlign w:val="top"/>
          </w:tcPr>
          <w:p>
            <w:pPr>
              <w:pStyle w:val="Compact"/>
              <w:spacing w:after="60" w:line="240" w:lineRule="auto"/>
              <w:jc w:val="left"/>
            </w:pPr>
            <w:r>
              <w:rPr>
                <w:rStyle w:val="VerbatimChar"/>
                <w:rFonts w:ascii="Carlito" w:hAnsi="Carlito"/>
                <w:sz w:val="18"/>
              </w:rPr>
              <w:t xml:space="preserve">data/prop7_thresholds.csv</w:t>
            </w:r>
            <w:r>
              <w:rPr>
                <w:rFonts w:ascii="Carlito" w:hAnsi="Carlito"/>
                <w:sz w:val="18"/>
              </w:rPr>
              <w:t xml:space="preserve">; direct envelope, not state simulation</w:t>
            </w:r>
          </w:p>
        </w:tc>
      </w:tr>
      <w:tr>
        <w:trPr>
          <w:cantSplit/>
        </w:trPr>
        <w:tc>
          <w:tcPr>
            <w:tcW w:type="dxa" w:w="2458"/>
            <w:vAlign w:val="top"/>
          </w:tcPr>
          <w:p>
            <w:pPr>
              <w:pStyle w:val="Compact"/>
              <w:spacing w:after="60" w:line="240" w:lineRule="auto"/>
              <w:jc w:val="left"/>
            </w:pPr>
            <w:r>
              <w:rPr>
                <w:rFonts w:ascii="Carlito" w:hAnsi="Carlito"/>
                <w:sz w:val="18"/>
              </w:rPr>
              <w:t xml:space="preserve">Source-off feasibility pilot</w:t>
            </w:r>
          </w:p>
        </w:tc>
        <w:tc>
          <w:tcPr>
            <w:tcW w:type="dxa" w:w="3834"/>
            <w:vAlign w:val="top"/>
          </w:tcPr>
          <w:p>
            <w:pPr>
              <w:pStyle w:val="Compact"/>
              <w:spacing w:after="60" w:line="240" w:lineRule="auto"/>
              <w:jc w:val="left"/>
            </w:pPr>
            <w:r>
              <w:rPr>
                <w:rFonts w:ascii="Carlito" w:hAnsi="Carlito"/>
                <w:sz w:val="18"/>
              </w:rPr>
              <w:t xml:space="preserve">192 independent units in two size strata; separate outcome definitions</w:t>
            </w:r>
          </w:p>
        </w:tc>
        <w:tc>
          <w:tcPr>
            <w:tcW w:type="dxa" w:w="3539"/>
            <w:vAlign w:val="top"/>
          </w:tcPr>
          <w:p>
            <w:pPr>
              <w:pStyle w:val="Compact"/>
              <w:spacing w:after="60" w:line="240" w:lineRule="auto"/>
              <w:jc w:val="left"/>
            </w:pPr>
            <w:r>
              <w:rPr>
                <w:rStyle w:val="VerbatimChar"/>
                <w:rFonts w:ascii="Carlito" w:hAnsi="Carlito"/>
                <w:sz w:val="18"/>
              </w:rPr>
              <w:t xml:space="preserve">data/pilot_run/results.json</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per_unit.json</w:t>
            </w:r>
            <w:r>
              <w:rPr>
                <w:rFonts w:ascii="Carlito" w:hAnsi="Carlito"/>
                <w:sz w:val="18"/>
              </w:rPr>
              <w:t xml:space="preserve">; results log, not an LRA test</w:t>
            </w:r>
          </w:p>
        </w:tc>
      </w:tr>
      <w:tr>
        <w:trPr>
          <w:cantSplit/>
        </w:trPr>
        <w:tc>
          <w:tcPr>
            <w:tcW w:type="dxa" w:w="2458"/>
            <w:vAlign w:val="top"/>
          </w:tcPr>
          <w:p>
            <w:pPr>
              <w:pStyle w:val="Compact"/>
              <w:spacing w:after="60" w:line="240" w:lineRule="auto"/>
              <w:jc w:val="left"/>
            </w:pPr>
            <w:r>
              <w:rPr>
                <w:rFonts w:ascii="Carlito" w:hAnsi="Carlito"/>
                <w:sz w:val="18"/>
              </w:rPr>
              <w:t xml:space="preserve">Post hoc sign analysis</w:t>
            </w:r>
          </w:p>
        </w:tc>
        <w:tc>
          <w:tcPr>
            <w:tcW w:type="dxa" w:w="3834"/>
            <w:vAlign w:val="top"/>
          </w:tcPr>
          <w:p>
            <w:pPr>
              <w:pStyle w:val="Compact"/>
              <w:spacing w:after="60" w:line="240" w:lineRule="auto"/>
              <w:jc w:val="left"/>
            </w:pPr>
            <w:r>
              <w:rPr>
                <w:rFonts w:ascii="Carlito" w:hAnsi="Carlito"/>
                <w:sz w:val="18"/>
              </w:rPr>
              <w:t xml:space="preserve">primary raw</w:t>
            </w:r>
            <w:r>
              <w:rPr>
                <w:rFonts w:ascii="Carlito" w:hAnsi="Carlito"/>
                <w:sz w:val="18"/>
              </w:rPr>
              <w:t xml:space="preserve"> </w:t>
            </w:r>
            <m:oMath>
              <m:r>
                <m:t>p</m:t>
              </m:r>
              <m:r>
                <m:rPr>
                  <m:sty m:val="p"/>
                </m:rPr>
                <m:t>=</m:t>
              </m:r>
              <m:r>
                <m:t>5.4592</m:t>
              </m:r>
              <m:r>
                <m:rPr>
                  <m:sty m:val="p"/>
                </m:rPr>
                <m:t>×</m:t>
              </m:r>
              <m:sSup>
                <m:e>
                  <m:r>
                    <m:t>10</m:t>
                  </m:r>
                </m:e>
                <m:sup>
                  <m:r>
                    <m:rPr>
                      <m:sty m:val="p"/>
                    </m:rPr>
                    <m:t>−</m:t>
                  </m:r>
                  <m:r>
                    <m:t>5</m:t>
                  </m:r>
                </m:sup>
              </m:sSup>
            </m:oMath>
            <w:r>
              <w:rPr>
                <w:rFonts w:ascii="Carlito" w:hAnsi="Carlito"/>
                <w:sz w:val="18"/>
              </w:rPr>
              <w:t xml:space="preserve">; four-row Holm</w:t>
            </w:r>
            <w:r>
              <w:rPr>
                <w:rFonts w:ascii="Carlito" w:hAnsi="Carlito"/>
                <w:sz w:val="18"/>
              </w:rPr>
              <w:t xml:space="preserve"> </w:t>
            </w:r>
            <m:oMath>
              <m:r>
                <m:t>p</m:t>
              </m:r>
              <m:r>
                <m:rPr>
                  <m:sty m:val="p"/>
                </m:rPr>
                <m:t>=</m:t>
              </m:r>
              <m:r>
                <m:t>1.6377</m:t>
              </m:r>
              <m:r>
                <m:rPr>
                  <m:sty m:val="p"/>
                </m:rPr>
                <m:t>×</m:t>
              </m:r>
              <m:sSup>
                <m:e>
                  <m:r>
                    <m:t>10</m:t>
                  </m:r>
                </m:e>
                <m:sup>
                  <m:r>
                    <m:rPr>
                      <m:sty m:val="p"/>
                    </m:rPr>
                    <m:t>−</m:t>
                  </m:r>
                  <m:r>
                    <m:t>4</m:t>
                  </m:r>
                </m:sup>
              </m:sSup>
            </m:oMath>
          </w:p>
        </w:tc>
        <w:tc>
          <w:tcPr>
            <w:tcW w:type="dxa" w:w="3539"/>
            <w:vAlign w:val="top"/>
          </w:tcPr>
          <w:p>
            <w:pPr>
              <w:pStyle w:val="Compact"/>
              <w:spacing w:after="60" w:line="240" w:lineRule="auto"/>
              <w:jc w:val="left"/>
            </w:pPr>
            <w:r>
              <w:rPr>
                <w:rStyle w:val="VerbatimChar"/>
                <w:rFonts w:ascii="Carlito" w:hAnsi="Carlito"/>
                <w:sz w:val="18"/>
              </w:rPr>
              <w:t xml:space="preserve">data/review_additions/sign_tests.csv</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code/analyze_review_additions.py</w:t>
            </w:r>
          </w:p>
        </w:tc>
      </w:tr>
      <w:tr>
        <w:trPr>
          <w:cantSplit/>
        </w:trPr>
        <w:tc>
          <w:tcPr>
            <w:tcW w:type="dxa" w:w="2458"/>
            <w:vAlign w:val="top"/>
          </w:tcPr>
          <w:p>
            <w:pPr>
              <w:pStyle w:val="Compact"/>
              <w:spacing w:after="60" w:line="240" w:lineRule="auto"/>
              <w:jc w:val="left"/>
            </w:pPr>
            <w:r>
              <w:rPr>
                <w:rFonts w:ascii="Carlito" w:hAnsi="Carlito"/>
                <w:sz w:val="18"/>
              </w:rPr>
              <w:t xml:space="preserve">Range-only precision budget</w:t>
            </w:r>
          </w:p>
        </w:tc>
        <w:tc>
          <w:tcPr>
            <w:tcW w:type="dxa" w:w="3834"/>
            <w:vAlign w:val="top"/>
          </w:tcPr>
          <w:p>
            <w:pPr>
              <w:pStyle w:val="Compact"/>
              <w:spacing w:after="60" w:line="240" w:lineRule="auto"/>
              <w:jc w:val="left"/>
            </w:pPr>
            <w:r>
              <w:rPr>
                <w:rFonts w:ascii="Carlito" w:hAnsi="Carlito"/>
                <w:sz w:val="18"/>
              </w:rPr>
              <w:t xml:space="preserve">32,791 units for half-width 0.015, not a power claim</w:t>
            </w:r>
          </w:p>
        </w:tc>
        <w:tc>
          <w:tcPr>
            <w:tcW w:type="dxa" w:w="3539"/>
            <w:vAlign w:val="top"/>
          </w:tcPr>
          <w:p>
            <w:pPr>
              <w:pStyle w:val="Compact"/>
              <w:spacing w:after="60" w:line="240" w:lineRule="auto"/>
              <w:jc w:val="left"/>
            </w:pPr>
            <w:r>
              <w:rPr>
                <w:rStyle w:val="VerbatimChar"/>
                <w:rFonts w:ascii="Carlito" w:hAnsi="Carlito"/>
                <w:sz w:val="18"/>
              </w:rPr>
              <w:t xml:space="preserve">data/review_additions/review_analysis.json</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precision</w:t>
            </w:r>
          </w:p>
        </w:tc>
      </w:tr>
      <w:tr>
        <w:trPr>
          <w:cantSplit/>
        </w:trPr>
        <w:tc>
          <w:tcPr>
            <w:tcW w:type="dxa" w:w="2458"/>
            <w:vAlign w:val="top"/>
          </w:tcPr>
          <w:p>
            <w:pPr>
              <w:pStyle w:val="Compact"/>
              <w:spacing w:after="60" w:line="240" w:lineRule="auto"/>
              <w:jc w:val="left"/>
            </w:pPr>
            <w:r>
              <w:rPr>
                <w:rFonts w:ascii="Carlito" w:hAnsi="Carlito"/>
                <w:sz w:val="18"/>
              </w:rPr>
              <w:t xml:space="preserve">Initial eligibility and transient access</w:t>
            </w:r>
          </w:p>
        </w:tc>
        <w:tc>
          <w:tcPr>
            <w:tcW w:type="dxa" w:w="3834"/>
            <w:vAlign w:val="top"/>
          </w:tcPr>
          <w:p>
            <w:pPr>
              <w:pStyle w:val="Compact"/>
              <w:spacing w:after="60" w:line="240" w:lineRule="auto"/>
              <w:jc w:val="left"/>
            </w:pPr>
            <w:r>
              <w:rPr>
                <w:rFonts w:ascii="Carlito" w:hAnsi="Carlito"/>
                <w:sz w:val="18"/>
              </w:rPr>
              <w:t xml:space="preserve">5 and 10 eligible site/unit pairs in native arms briefly exceed 0.8</w:t>
            </w:r>
          </w:p>
        </w:tc>
        <w:tc>
          <w:tcPr>
            <w:tcW w:type="dxa" w:w="3539"/>
            <w:vAlign w:val="top"/>
          </w:tcPr>
          <w:p>
            <w:pPr>
              <w:pStyle w:val="Compact"/>
              <w:spacing w:after="60" w:line="240" w:lineRule="auto"/>
              <w:jc w:val="left"/>
            </w:pPr>
            <w:r>
              <w:rPr>
                <w:rStyle w:val="VerbatimChar"/>
                <w:rFonts w:ascii="Carlito" w:hAnsi="Carlito"/>
                <w:sz w:val="18"/>
              </w:rPr>
              <w:t xml:space="preserve">data/review_additions/initial_floor_diagnostics.csv</w:t>
            </w:r>
          </w:p>
        </w:tc>
      </w:tr>
      <w:tr>
        <w:trPr>
          <w:cantSplit/>
        </w:trPr>
        <w:tc>
          <w:tcPr>
            <w:tcW w:type="dxa" w:w="2458"/>
            <w:vAlign w:val="top"/>
          </w:tcPr>
          <w:p>
            <w:pPr>
              <w:pStyle w:val="Compact"/>
              <w:spacing w:after="60" w:line="240" w:lineRule="auto"/>
              <w:jc w:val="left"/>
            </w:pPr>
            <w:r>
              <w:rPr>
                <w:rFonts w:ascii="Carlito" w:hAnsi="Carlito"/>
                <w:sz w:val="18"/>
              </w:rPr>
              <w:t xml:space="preserve">Source encoding in clean transport control</w:t>
            </w:r>
          </w:p>
        </w:tc>
        <w:tc>
          <w:tcPr>
            <w:tcW w:type="dxa" w:w="3834"/>
            <w:vAlign w:val="top"/>
          </w:tcPr>
          <w:p>
            <w:pPr>
              <w:pStyle w:val="Compact"/>
              <w:spacing w:after="60" w:line="240" w:lineRule="auto"/>
              <w:jc w:val="left"/>
            </w:pPr>
            <w:r>
              <w:rPr>
                <w:rFonts w:ascii="Carlito" w:hAnsi="Carlito"/>
                <w:sz w:val="18"/>
              </w:rPr>
              <w:t xml:space="preserve">phase code</w:t>
            </w:r>
            <w:r>
              <w:rPr>
                <w:rFonts w:ascii="Carlito" w:hAnsi="Carlito"/>
                <w:sz w:val="18"/>
              </w:rPr>
              <w:t xml:space="preserve"> </w:t>
            </w:r>
            <m:oMath>
              <m:r>
                <m:t>d</m:t>
              </m:r>
              <m:r>
                <m:rPr>
                  <m:sty m:val="p"/>
                </m:rPr>
                <m:t>=</m:t>
              </m:r>
              <m:r>
                <m:rPr>
                  <m:sty m:val="p"/>
                </m:rPr>
                <m:t>∣</m:t>
              </m:r>
              <m:r>
                <m:t>f</m:t>
              </m:r>
              <m:r>
                <m:rPr>
                  <m:sty m:val="p"/>
                </m:rPr>
                <m:t>∣</m:t>
              </m:r>
            </m:oMath>
            <w:r>
              <w:rPr>
                <w:rFonts w:ascii="Carlito" w:hAnsi="Carlito"/>
                <w:sz w:val="18"/>
              </w:rPr>
              <w:t xml:space="preserve">; vacuum/excitation code</w:t>
            </w:r>
            <w:r>
              <w:rPr>
                <w:rFonts w:ascii="Carlito" w:hAnsi="Carlito"/>
                <w:sz w:val="18"/>
              </w:rPr>
              <w:t xml:space="preserve"> </w:t>
            </w:r>
            <m:oMath>
              <m:r>
                <m:t>d</m:t>
              </m:r>
              <m:r>
                <m:rPr>
                  <m:sty m:val="p"/>
                </m:rPr>
                <m:t>=</m:t>
              </m:r>
              <m:sSup>
                <m:e>
                  <m:r>
                    <m:rPr>
                      <m:sty m:val="p"/>
                    </m:rPr>
                    <m:t>∣</m:t>
                  </m:r>
                  <m:r>
                    <m:t>f</m:t>
                  </m:r>
                  <m:r>
                    <m:rPr>
                      <m:sty m:val="p"/>
                    </m:rPr>
                    <m:t>∣</m:t>
                  </m:r>
                </m:e>
                <m:sup>
                  <m:r>
                    <m:t>2</m:t>
                  </m:r>
                </m:sup>
              </m:sSup>
            </m:oMath>
          </w:p>
        </w:tc>
        <w:tc>
          <w:tcPr>
            <w:tcW w:type="dxa" w:w="3539"/>
            <w:vAlign w:val="top"/>
          </w:tcPr>
          <w:p>
            <w:pPr>
              <w:pStyle w:val="Compact"/>
              <w:spacing w:after="60" w:line="240" w:lineRule="auto"/>
              <w:jc w:val="left"/>
            </w:pPr>
            <w:r>
              <w:rPr>
                <w:rStyle w:val="VerbatimChar"/>
                <w:rFonts w:ascii="Carlito" w:hAnsi="Carlito"/>
                <w:sz w:val="18"/>
              </w:rPr>
              <w:t xml:space="preserve">data/review_additions/transport_encodings.csv</w:t>
            </w:r>
            <w:r>
              <w:rPr>
                <w:rFonts w:ascii="Carlito" w:hAnsi="Carlito"/>
                <w:sz w:val="18"/>
              </w:rPr>
              <w:t xml:space="preserve">; separate full-space checks</w:t>
            </w:r>
          </w:p>
        </w:tc>
      </w:tr>
    </w:tbl>
    <w:p>
      <w:pPr>
        <w:pStyle w:val="BodyText"/>
      </w:pPr>
      <w:r>
        <w:rPr>
          <w:b/>
          <w:bCs/>
        </w:rPr>
        <w:t xml:space="preserve">Additional run crosswalk</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Target</w:t>
            </w:r>
          </w:p>
        </w:tc>
        <w:tc>
          <w:tcPr>
            <w:shd w:fill="EAF0F4"/>
            <w:tcW w:type="dxa" w:w="3834"/>
            <w:vAlign w:val="top"/>
          </w:tcPr>
          <w:p>
            <w:pPr>
              <w:pStyle w:val="Compact"/>
              <w:spacing w:after="60" w:line="240" w:lineRule="auto"/>
              <w:jc w:val="left"/>
            </w:pPr>
            <w:r>
              <w:rPr>
                <w:rFonts w:ascii="Carlito" w:hAnsi="Carlito"/>
                <w:b/>
                <w:sz w:val="18"/>
              </w:rPr>
              <w:t xml:space="preserve">Source and data</w:t>
            </w:r>
          </w:p>
        </w:tc>
        <w:tc>
          <w:tcPr>
            <w:shd w:fill="EAF0F4"/>
            <w:tcW w:type="dxa" w:w="3539"/>
            <w:vAlign w:val="top"/>
          </w:tcPr>
          <w:p>
            <w:pPr>
              <w:pStyle w:val="Compact"/>
              <w:spacing w:after="60" w:line="240" w:lineRule="auto"/>
              <w:jc w:val="left"/>
            </w:pPr>
            <w:r>
              <w:rPr>
                <w:rFonts w:ascii="Carlito" w:hAnsi="Carlito"/>
                <w:b/>
                <w:sz w:val="18"/>
              </w:rPr>
              <w:t xml:space="preserve">Boundary</w:t>
            </w:r>
          </w:p>
        </w:tc>
      </w:tr>
      <w:tr>
        <w:trPr>
          <w:cantSplit/>
        </w:trPr>
        <w:tc>
          <w:tcPr>
            <w:tcW w:type="dxa" w:w="2458"/>
            <w:vAlign w:val="top"/>
          </w:tcPr>
          <w:p>
            <w:pPr>
              <w:pStyle w:val="Compact"/>
              <w:spacing w:after="60" w:line="240" w:lineRule="auto"/>
              <w:jc w:val="left"/>
            </w:pPr>
            <w:r>
              <w:rPr>
                <w:rFonts w:ascii="Carlito" w:hAnsi="Carlito"/>
                <w:sz w:val="18"/>
              </w:rPr>
              <w:t xml:space="preserve">Factorial four/six/eight-qubit means</w:t>
            </w:r>
          </w:p>
        </w:tc>
        <w:tc>
          <w:tcPr>
            <w:tcW w:type="dxa" w:w="3834"/>
            <w:vAlign w:val="top"/>
          </w:tcPr>
          <w:p>
            <w:pPr>
              <w:pStyle w:val="Compact"/>
              <w:spacing w:after="60" w:line="240" w:lineRule="auto"/>
              <w:jc w:val="left"/>
            </w:pPr>
            <w:r>
              <w:rPr>
                <w:rStyle w:val="VerbatimChar"/>
                <w:rFonts w:ascii="Carlito" w:hAnsi="Carlito"/>
                <w:sz w:val="18"/>
              </w:rPr>
              <w:t xml:space="preserve">data/reviewer_replay/factorial_results.json</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factorial_n*.npz</w:t>
            </w:r>
          </w:p>
        </w:tc>
        <w:tc>
          <w:tcPr>
            <w:tcW w:type="dxa" w:w="3539"/>
            <w:vAlign w:val="top"/>
          </w:tcPr>
          <w:p>
            <w:pPr>
              <w:pStyle w:val="Compact"/>
              <w:spacing w:after="60" w:line="240" w:lineRule="auto"/>
              <w:jc w:val="left"/>
            </w:pPr>
            <w:r>
              <w:rPr>
                <w:rFonts w:ascii="Carlito" w:hAnsi="Carlito"/>
                <w:sz w:val="18"/>
              </w:rPr>
              <w:t xml:space="preserve">Same-code reproduction of an exploratory review extension</w:t>
            </w:r>
          </w:p>
        </w:tc>
      </w:tr>
      <w:tr>
        <w:trPr>
          <w:cantSplit/>
        </w:trPr>
        <w:tc>
          <w:tcPr>
            <w:tcW w:type="dxa" w:w="2458"/>
            <w:vAlign w:val="top"/>
          </w:tcPr>
          <w:p>
            <w:pPr>
              <w:pStyle w:val="Compact"/>
              <w:spacing w:after="60" w:line="240" w:lineRule="auto"/>
              <w:jc w:val="left"/>
            </w:pPr>
            <w:r>
              <w:rPr>
                <w:rFonts w:ascii="Carlito" w:hAnsi="Carlito"/>
                <w:sz w:val="18"/>
              </w:rPr>
              <w:t xml:space="preserve">Larger source-off sample</w:t>
            </w:r>
          </w:p>
        </w:tc>
        <w:tc>
          <w:tcPr>
            <w:tcW w:type="dxa" w:w="3834"/>
            <w:vAlign w:val="top"/>
          </w:tcPr>
          <w:p>
            <w:pPr>
              <w:pStyle w:val="Compact"/>
              <w:spacing w:after="60" w:line="240" w:lineRule="auto"/>
              <w:jc w:val="left"/>
            </w:pPr>
            <w:r>
              <w:rPr>
                <w:rStyle w:val="VerbatimChar"/>
                <w:rFonts w:ascii="Carlito" w:hAnsi="Carlito"/>
                <w:sz w:val="18"/>
              </w:rPr>
              <w:t xml:space="preserve">data/reviewer_replay/reimpl_id1_results.json</w:t>
            </w:r>
          </w:p>
        </w:tc>
        <w:tc>
          <w:tcPr>
            <w:tcW w:type="dxa" w:w="3539"/>
            <w:vAlign w:val="top"/>
          </w:tcPr>
          <w:p>
            <w:pPr>
              <w:pStyle w:val="Compact"/>
              <w:spacing w:after="60" w:line="240" w:lineRule="auto"/>
              <w:jc w:val="left"/>
            </w:pPr>
            <w:r>
              <w:rPr>
                <w:rFonts w:ascii="Carlito" w:hAnsi="Carlito"/>
                <w:sz w:val="18"/>
              </w:rPr>
              <w:t xml:space="preserve">Fresh-stream reimplementation, not the original sample</w:t>
            </w:r>
          </w:p>
        </w:tc>
      </w:tr>
      <w:tr>
        <w:trPr>
          <w:cantSplit/>
        </w:trPr>
        <w:tc>
          <w:tcPr>
            <w:tcW w:type="dxa" w:w="2458"/>
            <w:vAlign w:val="top"/>
          </w:tcPr>
          <w:p>
            <w:pPr>
              <w:pStyle w:val="Compact"/>
              <w:spacing w:after="60" w:line="240" w:lineRule="auto"/>
              <w:jc w:val="left"/>
            </w:pPr>
            <w:r>
              <w:rPr>
                <w:rFonts w:ascii="Carlito" w:hAnsi="Carlito"/>
                <w:sz w:val="18"/>
              </w:rPr>
              <w:t xml:space="preserve">Third-frame means</w:t>
            </w:r>
          </w:p>
        </w:tc>
        <w:tc>
          <w:tcPr>
            <w:tcW w:type="dxa" w:w="3834"/>
            <w:vAlign w:val="top"/>
          </w:tcPr>
          <w:p>
            <w:pPr>
              <w:pStyle w:val="Compact"/>
              <w:spacing w:after="60" w:line="240" w:lineRule="auto"/>
              <w:jc w:val="left"/>
            </w:pPr>
            <w:r>
              <w:rPr>
                <w:rStyle w:val="VerbatimChar"/>
                <w:rFonts w:ascii="Carlito" w:hAnsi="Carlito"/>
                <w:sz w:val="18"/>
              </w:rPr>
              <w:t xml:space="preserve">data/reviewer_replay/factorial_neutral.json</w:t>
            </w:r>
          </w:p>
        </w:tc>
        <w:tc>
          <w:tcPr>
            <w:tcW w:type="dxa" w:w="3539"/>
            <w:vAlign w:val="top"/>
          </w:tcPr>
          <w:p>
            <w:pPr>
              <w:pStyle w:val="Compact"/>
              <w:spacing w:after="60" w:line="240" w:lineRule="auto"/>
              <w:jc w:val="left"/>
            </w:pPr>
            <w:r>
              <w:rPr>
                <w:rFonts w:ascii="Carlito" w:hAnsi="Carlito"/>
                <w:sz w:val="18"/>
              </w:rPr>
              <w:t xml:space="preserve">Post hoc comparator, no guaranteed neutrality</w:t>
            </w:r>
          </w:p>
        </w:tc>
      </w:tr>
      <w:tr>
        <w:trPr>
          <w:cantSplit/>
        </w:trPr>
        <w:tc>
          <w:tcPr>
            <w:tcW w:type="dxa" w:w="2458"/>
            <w:vAlign w:val="top"/>
          </w:tcPr>
          <w:p>
            <w:pPr>
              <w:pStyle w:val="Compact"/>
              <w:spacing w:after="60" w:line="240" w:lineRule="auto"/>
              <w:jc w:val="left"/>
            </w:pPr>
            <w:r>
              <w:rPr>
                <w:rFonts w:ascii="Carlito" w:hAnsi="Carlito"/>
                <w:sz w:val="18"/>
              </w:rPr>
              <w:t xml:space="preserve">Paired range and finite-family intervals</w:t>
            </w:r>
          </w:p>
        </w:tc>
        <w:tc>
          <w:tcPr>
            <w:tcW w:type="dxa" w:w="3834"/>
            <w:vAlign w:val="top"/>
          </w:tcPr>
          <w:p>
            <w:pPr>
              <w:pStyle w:val="Compact"/>
              <w:spacing w:after="60" w:line="240" w:lineRule="auto"/>
              <w:jc w:val="left"/>
            </w:pPr>
            <w:r>
              <w:rPr>
                <w:rStyle w:val="VerbatimChar"/>
                <w:rFonts w:ascii="Carlito" w:hAnsi="Carlito"/>
                <w:sz w:val="18"/>
              </w:rPr>
              <w:t xml:space="preserve">data/factorial_analysis/analysis.json</w:t>
            </w:r>
            <w:r>
              <w:rPr>
                <w:rFonts w:ascii="Carlito" w:hAnsi="Carlito"/>
                <w:sz w:val="18"/>
              </w:rPr>
              <w:t xml:space="preserve">;</w:t>
            </w:r>
            <w:r>
              <w:rPr>
                <w:rFonts w:ascii="Carlito" w:hAnsi="Carlito"/>
                <w:sz w:val="18"/>
              </w:rPr>
              <w:t xml:space="preserve"> </w:t>
            </w:r>
            <w:r>
              <w:rPr>
                <w:rStyle w:val="VerbatimChar"/>
                <w:rFonts w:ascii="Carlito" w:hAnsi="Carlito"/>
                <w:sz w:val="18"/>
              </w:rPr>
              <w:t xml:space="preserve">code/analyze_factorial.py</w:t>
            </w:r>
          </w:p>
        </w:tc>
        <w:tc>
          <w:tcPr>
            <w:tcW w:type="dxa" w:w="3539"/>
            <w:vAlign w:val="top"/>
          </w:tcPr>
          <w:p>
            <w:pPr>
              <w:pStyle w:val="Compact"/>
              <w:spacing w:after="60" w:line="240" w:lineRule="auto"/>
              <w:jc w:val="left"/>
            </w:pPr>
            <w:r>
              <w:rPr>
                <w:rFonts w:ascii="Carlito" w:hAnsi="Carlito"/>
                <w:sz w:val="18"/>
              </w:rPr>
              <w:t xml:space="preserve">Derived secondary sampling bounds</w:t>
            </w:r>
          </w:p>
        </w:tc>
      </w:tr>
      <w:tr>
        <w:trPr>
          <w:cantSplit/>
        </w:trPr>
        <w:tc>
          <w:tcPr>
            <w:tcW w:type="dxa" w:w="2458"/>
            <w:vAlign w:val="top"/>
          </w:tcPr>
          <w:p>
            <w:pPr>
              <w:pStyle w:val="Compact"/>
              <w:spacing w:after="60" w:line="240" w:lineRule="auto"/>
              <w:jc w:val="left"/>
            </w:pPr>
            <w:r>
              <w:rPr>
                <w:rFonts w:ascii="Carlito" w:hAnsi="Carlito"/>
                <w:sz w:val="18"/>
              </w:rPr>
              <w:t xml:space="preserve">Alternative numerical method</w:t>
            </w:r>
          </w:p>
        </w:tc>
        <w:tc>
          <w:tcPr>
            <w:tcW w:type="dxa" w:w="3834"/>
            <w:vAlign w:val="top"/>
          </w:tcPr>
          <w:p>
            <w:pPr>
              <w:pStyle w:val="Compact"/>
              <w:spacing w:after="60" w:line="240" w:lineRule="auto"/>
              <w:jc w:val="left"/>
            </w:pPr>
            <w:r>
              <w:rPr>
                <w:rStyle w:val="VerbatimChar"/>
                <w:rFonts w:ascii="Carlito" w:hAnsi="Carlito"/>
                <w:sz w:val="18"/>
              </w:rPr>
              <w:t xml:space="preserve">verification/factorial_independent_checks.json</w:t>
            </w:r>
          </w:p>
        </w:tc>
        <w:tc>
          <w:tcPr>
            <w:tcW w:type="dxa" w:w="3539"/>
            <w:vAlign w:val="top"/>
          </w:tcPr>
          <w:p>
            <w:pPr>
              <w:pStyle w:val="Compact"/>
              <w:spacing w:after="60" w:line="240" w:lineRule="auto"/>
              <w:jc w:val="left"/>
            </w:pPr>
            <w:r>
              <w:rPr>
                <w:rFonts w:ascii="Carlito" w:hAnsi="Carlito"/>
                <w:sz w:val="18"/>
              </w:rPr>
              <w:t xml:space="preserve">Selected trajectories, not a second full population study</w:t>
            </w:r>
          </w:p>
        </w:tc>
      </w:tr>
    </w:tbl>
    <w:bookmarkEnd w:id="21"/>
    <w:bookmarkStart w:id="29" w:name="X8f6b57855ad5fe9fa905ea9970eeaf5c845dd4e"/>
    <w:p>
      <w:pPr>
        <w:pStyle w:val="Heading2"/>
      </w:pPr>
      <w:r>
        <w:t xml:space="preserve">S2. Historical continuously driven simulation</w:t>
      </w:r>
    </w:p>
    <w:p>
      <w:pPr>
        <w:pStyle w:val="FirstParagraph"/>
      </w:pPr>
      <w:r>
        <w:t xml:space="preserve">The material below retains the complete exploratory model and outcomes for reproducibility. It is not another experiment or a retrospective confirmation of the newer source-off target. References to original Sections 2 to 5 concern the methods framework; references to Section 6.x are mapped to S2.x below. Its reported causal interpretations are descriptive and family-specific, not general theorems.</w:t>
      </w:r>
    </w:p>
    <w:bookmarkStart w:id="22" w:name="s2.0-status"/>
    <w:p>
      <w:pPr>
        <w:pStyle w:val="Heading3"/>
      </w:pPr>
      <w:r>
        <w:t xml:space="preserve">S2.0 Status</w:t>
      </w:r>
    </w:p>
    <w:p>
      <w:pPr>
        <w:pStyle w:val="FirstParagraph"/>
      </w:pPr>
      <w:r>
        <w:rPr>
          <w:b/>
          <w:bCs/>
        </w:rPr>
        <w:t xml:space="preserve">Status: EXPLORATORY.</w:t>
      </w:r>
      <w:r>
        <w:t xml:space="preserve"> </w:t>
      </w:r>
      <w:r>
        <w:t xml:space="preserve">This section reports computed results for one small model class. The configuration was changed after the first results were inspected (Section S2.2), so they are not a confirmatory test of the prospectively stated population conjectures. They can nevertheless supply counterexamples to a universal claim and guide later design; exploratory does not mean scientifically worthless. They are included because they show concretely how the design choices of Sections 2 and 5 decide outcomes. The frozen configuration was then re-run with fresh seeds (Section S2.5).</w:t>
      </w:r>
    </w:p>
    <w:p>
      <w:pPr>
        <w:pStyle w:val="BodyText"/>
      </w:pPr>
      <w:r>
        <w:t xml:space="preserve">The notation below uses</w:t>
      </w:r>
      <w:r>
        <w:t xml:space="preserve"> </w:t>
      </w:r>
      <m:oMath>
        <m:sSub>
          <m:e>
            <m:r>
              <m:t>K</m:t>
            </m:r>
          </m:e>
          <m:sub>
            <m:r>
              <m:rPr>
                <m:sty m:val="p"/>
              </m:rPr>
              <m:t>C</m:t>
            </m:r>
          </m:sub>
        </m:sSub>
      </m:oMath>
      <w:r>
        <w:t xml:space="preserve"> </w:t>
      </w:r>
      <w:r>
        <w:t xml:space="preserve">for the source-coupling operator, reserving C for an alternate frame label. Preserved scripts and original outputs still use their original variable C; this is a notation change only.</w:t>
      </w:r>
    </w:p>
    <w:bookmarkEnd w:id="22"/>
    <w:bookmarkStart w:id="23" w:name="s2.1-model"/>
    <w:p>
      <w:pPr>
        <w:pStyle w:val="Heading3"/>
      </w:pPr>
      <w:r>
        <w:t xml:space="preserve">S2.1 Model</w:t>
      </w:r>
    </w:p>
    <w:p>
      <w:pPr>
        <w:pStyle w:val="Compact"/>
        <w:numPr>
          <w:ilvl w:val="0"/>
          <w:numId w:val="1001"/>
        </w:numPr>
      </w:pPr>
      <w:r>
        <w:rPr>
          <w:b/>
          <w:bCs/>
        </w:rPr>
        <w:t xml:space="preserve">System and source.</w:t>
      </w:r>
      <w:r>
        <w:t xml:space="preserve"> </w:t>
      </w:r>
      <m:oMath>
        <m:r>
          <m:t>n</m:t>
        </m:r>
        <m:r>
          <m:rPr>
            <m:sty m:val="p"/>
          </m:rPr>
          <m:t>=</m:t>
        </m:r>
        <m:r>
          <m:t>3</m:t>
        </m:r>
      </m:oMath>
      <w:r>
        <w:t xml:space="preserve"> </w:t>
      </w:r>
      <w:r>
        <w:t xml:space="preserve">system qubits and a binary source with equal priors;</w:t>
      </w:r>
      <w:r>
        <w:t xml:space="preserve"> </w:t>
      </w:r>
      <m:oMath>
        <m:sSub>
          <m:e>
            <m:r>
              <m:t>H</m:t>
            </m:r>
          </m:e>
          <m:sub>
            <m:r>
              <m:t>x</m:t>
            </m:r>
          </m:sub>
        </m:sSub>
        <m:r>
          <m:rPr>
            <m:sty m:val="p"/>
          </m:rPr>
          <m:t>=</m:t>
        </m:r>
        <m:sSub>
          <m:e>
            <m:r>
              <m:t>H</m:t>
            </m:r>
          </m:e>
          <m:sub>
            <m:r>
              <m:t>S</m:t>
            </m:r>
          </m:sub>
        </m:sSub>
        <m:r>
          <m:rPr>
            <m:sty m:val="p"/>
          </m:rPr>
          <m:t>+</m:t>
        </m:r>
        <m:sSup>
          <m:e>
            <m:r>
              <m:rPr>
                <m:sty m:val="p"/>
              </m:rPr>
              <m:t>(</m:t>
            </m:r>
            <m:r>
              <m:rPr>
                <m:sty m:val="p"/>
              </m:rPr>
              <m:t>−</m:t>
            </m:r>
            <m:r>
              <m:t>1</m:t>
            </m:r>
            <m:r>
              <m:rPr>
                <m:sty m:val="p"/>
              </m:rPr>
              <m:t>)</m:t>
            </m:r>
          </m:e>
          <m:sup>
            <m:r>
              <m:t>x</m:t>
            </m:r>
          </m:sup>
        </m:sSup>
        <m:sSub>
          <m:e>
            <m:r>
              <m:t>K</m:t>
            </m:r>
          </m:e>
          <m:sub>
            <m:r>
              <m:rPr>
                <m:sty m:val="p"/>
              </m:rPr>
              <m:t>C</m:t>
            </m:r>
          </m:sub>
        </m:sSub>
      </m:oMath>
      <w:r>
        <w:t xml:space="preserve">.</w:t>
      </w:r>
    </w:p>
    <w:p>
      <w:pPr>
        <w:pStyle w:val="Compact"/>
        <w:numPr>
          <w:ilvl w:val="0"/>
          <w:numId w:val="1001"/>
        </w:numPr>
      </w:pPr>
      <w:r>
        <w:rPr>
          <w:b/>
          <w:bCs/>
        </w:rPr>
        <w:t xml:space="preserve">Internal Hamiltonian.</w:t>
      </w:r>
      <w:r>
        <w:t xml:space="preserve"> </w:t>
      </w:r>
      <m:oMath>
        <m:sSub>
          <m:e>
            <m:r>
              <m:t>H</m:t>
            </m:r>
          </m:e>
          <m:sub>
            <m:r>
              <m:t>S</m:t>
            </m:r>
          </m:sub>
        </m:sSub>
      </m:oMath>
      <w:r>
        <w:t xml:space="preserve"> </w:t>
      </w:r>
      <w:r>
        <w:t xml:space="preserve">is a random nearest-neighbour 2-local chain: Gaussian coefficients on all two-body Pauli products on adjacent pairs, plus one-body terms at half weight. It is normalised to Frobenius norm</w:t>
      </w:r>
      <w:r>
        <w:t xml:space="preserve"> </w:t>
      </w:r>
      <m:oMath>
        <m:r>
          <m:t>λ</m:t>
        </m:r>
      </m:oMath>
      <w:r>
        <w:t xml:space="preserve">.</w:t>
      </w:r>
    </w:p>
    <w:p>
      <w:pPr>
        <w:pStyle w:val="Compact"/>
        <w:numPr>
          <w:ilvl w:val="0"/>
          <w:numId w:val="1001"/>
        </w:numPr>
      </w:pPr>
      <w:r>
        <w:rPr>
          <w:b/>
          <w:bCs/>
        </w:rPr>
        <w:t xml:space="preserve">Coupling and time window.</w:t>
      </w:r>
      <w:r>
        <w:t xml:space="preserve"> </w:t>
      </w:r>
      <w:r>
        <w:t xml:space="preserve">The source coupling is the star operator</w:t>
      </w:r>
      <w:r>
        <w:t xml:space="preserve"> </w:t>
      </w:r>
      <m:oMath>
        <m:sSub>
          <m:e>
            <m:r>
              <m:t>K</m:t>
            </m:r>
          </m:e>
          <m:sub>
            <m:r>
              <m:rPr>
                <m:sty m:val="p"/>
              </m:rPr>
              <m:t>C</m:t>
            </m:r>
          </m:sub>
        </m:sSub>
        <m:r>
          <m:rPr>
            <m:sty m:val="p"/>
          </m:rPr>
          <m:t>=</m:t>
        </m:r>
        <m:nary>
          <m:naryPr>
            <m:chr m:val="∑"/>
            <m:limLoc m:val="undOvr"/>
            <m:subHide m:val="off"/>
            <m:supHide m:val="off"/>
          </m:naryPr>
          <m:sub>
            <m:r>
              <m:t>j</m:t>
            </m:r>
            <m:r>
              <m:rPr>
                <m:sty m:val="p"/>
              </m:rPr>
              <m:t>=</m:t>
            </m:r>
            <m:r>
              <m:t>1</m:t>
            </m:r>
          </m:sub>
          <m:sup>
            <m:r>
              <m:t>3</m:t>
            </m:r>
          </m:sup>
          <m:e>
            <m:sSub>
              <m:e>
                <m:r>
                  <m:t>X</m:t>
                </m:r>
              </m:e>
              <m:sub>
                <m:r>
                  <m:t>j</m:t>
                </m:r>
              </m:sub>
            </m:sSub>
          </m:e>
        </m:nary>
      </m:oMath>
      <w:r>
        <w:t xml:space="preserve">, of Frobenius norm</w:t>
      </w:r>
      <w:r>
        <w:t xml:space="preserve"> </w:t>
      </w:r>
      <m:oMath>
        <m:rad>
          <m:radPr>
            <m:degHide m:val="on"/>
          </m:radPr>
          <m:deg/>
          <m:e>
            <m:r>
              <m:t>24</m:t>
            </m:r>
          </m:e>
        </m:rad>
        <m:r>
          <m:rPr>
            <m:sty m:val="p"/>
          </m:rPr>
          <m:t>≈</m:t>
        </m:r>
        <m:r>
          <m:t>4.90</m:t>
        </m:r>
      </m:oMath>
      <w:r>
        <w:t xml:space="preserve">. Times are</w:t>
      </w:r>
      <w:r>
        <w:t xml:space="preserve"> </w:t>
      </w:r>
      <m:oMath>
        <m:r>
          <m:t>t</m:t>
        </m:r>
        <m:r>
          <m:rPr>
            <m:sty m:val="p"/>
          </m:rPr>
          <m:t>∈</m:t>
        </m:r>
        <m:r>
          <m:rPr>
            <m:sty m:val="p"/>
          </m:rPr>
          <m:t>{</m:t>
        </m:r>
        <m:r>
          <m:t>0.6</m:t>
        </m:r>
        <m:r>
          <m:rPr>
            <m:sty m:val="p"/>
          </m:rPr>
          <m:t>,</m:t>
        </m:r>
        <m:r>
          <m:t>0.7</m:t>
        </m:r>
        <m:r>
          <m:rPr>
            <m:sty m:val="p"/>
          </m:rPr>
          <m:t>,</m:t>
        </m:r>
        <m:r>
          <m:t>0.8</m:t>
        </m:r>
        <m:r>
          <m:rPr>
            <m:sty m:val="p"/>
          </m:rPr>
          <m:t>,</m:t>
        </m:r>
        <m:r>
          <m:t>0.9</m:t>
        </m:r>
        <m:r>
          <m:rPr>
            <m:sty m:val="p"/>
          </m:rPr>
          <m:t>,</m:t>
        </m:r>
        <m:r>
          <m:t>1.0</m:t>
        </m:r>
        <m:r>
          <m:rPr>
            <m:sty m:val="p"/>
          </m:rPr>
          <m:t>}</m:t>
        </m:r>
      </m:oMath>
      <w:r>
        <w:t xml:space="preserve">.</w:t>
      </w:r>
    </w:p>
    <w:p>
      <w:pPr>
        <w:pStyle w:val="Compact"/>
        <w:numPr>
          <w:ilvl w:val="0"/>
          <w:numId w:val="1001"/>
        </w:numPr>
      </w:pPr>
      <w:r>
        <w:rPr>
          <w:b/>
          <w:bCs/>
        </w:rPr>
        <w:t xml:space="preserve">Candidates.</w:t>
      </w:r>
      <w:r>
        <w:t xml:space="preserve"> </w:t>
      </w:r>
      <w:r>
        <w:t xml:space="preserve">There are</w:t>
      </w:r>
      <w:r>
        <w:t xml:space="preserve"> </w:t>
      </w:r>
      <m:oMath>
        <m:r>
          <m:t>N</m:t>
        </m:r>
        <m:r>
          <m:rPr>
            <m:sty m:val="p"/>
          </m:rPr>
          <m:t>=</m:t>
        </m:r>
        <m:r>
          <m:t>20</m:t>
        </m:r>
      </m:oMath>
      <w:r>
        <w:t xml:space="preserve"> </w:t>
      </w:r>
      <w:r>
        <w:t xml:space="preserve">candidates: the identity (the frame in which</w:t>
      </w:r>
      <w:r>
        <w:t xml:space="preserve"> </w:t>
      </w:r>
      <m:oMath>
        <m:sSub>
          <m:e>
            <m:r>
              <m:t>H</m:t>
            </m:r>
          </m:e>
          <m:sub>
            <m:r>
              <m:t>S</m:t>
            </m:r>
          </m:sub>
        </m:sSub>
      </m:oMath>
      <w:r>
        <w:t xml:space="preserve"> </w:t>
      </w:r>
      <w:r>
        <w:t xml:space="preserve">and</w:t>
      </w:r>
      <w:r>
        <w:t xml:space="preserve"> </w:t>
      </w:r>
      <m:oMath>
        <m:sSub>
          <m:e>
            <m:r>
              <m:t>K</m:t>
            </m:r>
          </m:e>
          <m:sub>
            <m:r>
              <m:rPr>
                <m:sty m:val="p"/>
              </m:rPr>
              <m:t>C</m:t>
            </m:r>
          </m:sub>
        </m:sSub>
      </m:oMath>
      <w:r>
        <w:t xml:space="preserve"> </w:t>
      </w:r>
      <w:r>
        <w:t xml:space="preserve">are local), a preparation frame</w:t>
      </w:r>
      <w:r>
        <w:t xml:space="preserve"> </w:t>
      </w:r>
      <m:oMath>
        <m:r>
          <m:t>W</m:t>
        </m:r>
      </m:oMath>
      <w:r>
        <w:t xml:space="preserve">, and 18 Haar-random unitaries.</w:t>
      </w:r>
    </w:p>
    <w:p>
      <w:pPr>
        <w:pStyle w:val="Compact"/>
        <w:numPr>
          <w:ilvl w:val="0"/>
          <w:numId w:val="1001"/>
        </w:numPr>
      </w:pPr>
      <w:r>
        <w:rPr>
          <w:b/>
          <w:bCs/>
        </w:rPr>
        <w:t xml:space="preserve">Locality.</w:t>
      </w:r>
      <w:r>
        <w:t xml:space="preserve"> </w:t>
      </w:r>
      <m:oMath>
        <m:r>
          <m:t>L</m:t>
        </m:r>
      </m:oMath>
      <w:r>
        <w:t xml:space="preserve"> </w:t>
      </w:r>
      <w:r>
        <w:t xml:space="preserve">is the internal score</w:t>
      </w:r>
      <w:r>
        <w:t xml:space="preserve"> </w:t>
      </w:r>
      <m:oMath>
        <m:sSup>
          <m:e>
            <m:r>
              <m:t>L</m:t>
            </m:r>
          </m:e>
          <m:sup>
            <m:r>
              <m:rPr>
                <m:sty m:val="p"/>
              </m:rPr>
              <m:t>i</m:t>
            </m:r>
            <m:r>
              <m:rPr>
                <m:sty m:val="p"/>
              </m:rPr>
              <m:t>n</m:t>
            </m:r>
            <m:r>
              <m:rPr>
                <m:sty m:val="p"/>
              </m:rPr>
              <m:t>t</m:t>
            </m:r>
          </m:sup>
        </m:sSup>
      </m:oMath>
      <w:r>
        <w:t xml:space="preserve"> </w:t>
      </w:r>
      <w:r>
        <w:t xml:space="preserve">on the span of Pauli strings of weight at most 2, identity included.</w:t>
      </w:r>
    </w:p>
    <w:p>
      <w:pPr>
        <w:pStyle w:val="Compact"/>
        <w:numPr>
          <w:ilvl w:val="0"/>
          <w:numId w:val="1001"/>
        </w:numPr>
      </w:pPr>
      <w:r>
        <w:rPr>
          <w:b/>
          <w:bCs/>
        </w:rPr>
        <w:t xml:space="preserve">Records (simplified).</w:t>
      </w:r>
      <w:r>
        <w:t xml:space="preserve"> </w:t>
      </w:r>
      <w:r>
        <w:t xml:space="preserve">The record score is the time-averaged number of single qubits whose Helstrom error is at most</w:t>
      </w:r>
      <w:r>
        <w:t xml:space="preserve"> </w:t>
      </w:r>
      <m:oMath>
        <m:r>
          <m:t>0.1</m:t>
        </m:r>
      </m:oMath>
      <w:r>
        <w:t xml:space="preserve">. This is a simplification of the disjoint, persistent redundancy of Section 2.5.</w:t>
      </w:r>
    </w:p>
    <w:p>
      <w:pPr>
        <w:pStyle w:val="Compact"/>
        <w:numPr>
          <w:ilvl w:val="0"/>
          <w:numId w:val="1001"/>
        </w:numPr>
      </w:pPr>
      <w:r>
        <w:rPr>
          <w:b/>
          <w:bCs/>
        </w:rPr>
        <w:t xml:space="preserve">Near-optimal sets.</w:t>
      </w:r>
      <w:r>
        <w:t xml:space="preserve"> </w:t>
      </w:r>
      <m:oMath>
        <m:sSub>
          <m:e>
            <m:r>
              <m:rPr>
                <m:sty m:val="p"/>
                <m:scr m:val="script"/>
              </m:rPr>
              <m:t>N</m:t>
            </m:r>
          </m:e>
          <m:sub>
            <m:r>
              <m:t>L</m:t>
            </m:r>
          </m:sub>
        </m:sSub>
      </m:oMath>
      <w:r>
        <w:t xml:space="preserve"> </w:t>
      </w:r>
      <w:r>
        <w:t xml:space="preserve">requires</w:t>
      </w:r>
      <w:r>
        <w:t xml:space="preserve"> </w:t>
      </w:r>
      <m:oMath>
        <m:r>
          <m:t>L</m:t>
        </m:r>
        <m:r>
          <m:rPr>
            <m:sty m:val="p"/>
          </m:rPr>
          <m:t>≤</m:t>
        </m:r>
        <m:r>
          <m:rPr>
            <m:sty m:val="p"/>
            <m:nor m:val="1"/>
          </m:rPr>
          <w:rPr>
            <w:i w:val="0"/>
          </w:rPr>
          <m:t>min</m:t>
        </m:r>
        <m:r>
          <m:t>L</m:t>
        </m:r>
        <m:r>
          <m:rPr>
            <m:sty m:val="p"/>
          </m:rPr>
          <m:t>+</m:t>
        </m:r>
        <m:r>
          <m:t>0.02</m:t>
        </m:r>
      </m:oMath>
      <w:r>
        <w:t xml:space="preserve"> </w:t>
      </w:r>
      <w:r>
        <w:t xml:space="preserve">and</w:t>
      </w:r>
      <w:r>
        <w:t xml:space="preserve"> </w:t>
      </w:r>
      <m:oMath>
        <m:r>
          <m:t>L</m:t>
        </m:r>
        <m:r>
          <m:rPr>
            <m:sty m:val="p"/>
          </m:rPr>
          <m:t>≤</m:t>
        </m:r>
        <m:r>
          <m:t>0.6</m:t>
        </m:r>
      </m:oMath>
      <w:r>
        <w:t xml:space="preserve">;</w:t>
      </w:r>
      <w:r>
        <w:t xml:space="preserve"> </w:t>
      </w:r>
      <m:oMath>
        <m:sSub>
          <m:e>
            <m:r>
              <m:rPr>
                <m:sty m:val="p"/>
                <m:scr m:val="script"/>
              </m:rPr>
              <m:t>N</m:t>
            </m:r>
          </m:e>
          <m:sub>
            <m:r>
              <m:t>R</m:t>
            </m:r>
          </m:sub>
        </m:sSub>
      </m:oMath>
      <w:r>
        <w:t xml:space="preserve"> </w:t>
      </w:r>
      <w:r>
        <w:t xml:space="preserve">requires</w:t>
      </w:r>
      <w:r>
        <w:t xml:space="preserve"> </w:t>
      </w:r>
      <m:oMath>
        <m:r>
          <m:t>R</m:t>
        </m:r>
        <m:r>
          <m:rPr>
            <m:sty m:val="p"/>
          </m:rPr>
          <m:t>=</m:t>
        </m:r>
        <m:r>
          <m:rPr>
            <m:sty m:val="p"/>
            <m:nor m:val="1"/>
          </m:rPr>
          <w:rPr>
            <w:i w:val="0"/>
          </w:rPr>
          <m:t>max</m:t>
        </m:r>
        <m:r>
          <m:t>R</m:t>
        </m:r>
      </m:oMath>
      <w:r>
        <w:t xml:space="preserve"> </w:t>
      </w:r>
      <w:r>
        <w:t xml:space="preserve">and</w:t>
      </w:r>
      <w:r>
        <w:t xml:space="preserve"> </w:t>
      </w:r>
      <m:oMath>
        <m:r>
          <m:t>R</m:t>
        </m:r>
        <m:r>
          <m:rPr>
            <m:sty m:val="p"/>
          </m:rPr>
          <m:t>≥</m:t>
        </m:r>
        <m:r>
          <m:t>0.5</m:t>
        </m:r>
      </m:oMath>
      <w:r>
        <w:t xml:space="preserve">.</w:t>
      </w:r>
    </w:p>
    <w:p>
      <w:pPr>
        <w:pStyle w:val="Compact"/>
        <w:numPr>
          <w:ilvl w:val="0"/>
          <w:numId w:val="1001"/>
        </w:numPr>
      </w:pPr>
      <w:r>
        <w:rPr>
          <w:b/>
          <w:bCs/>
        </w:rPr>
        <w:t xml:space="preserve">Arms.</w:t>
      </w:r>
      <w:r>
        <w:t xml:space="preserve"> </w:t>
      </w:r>
      <w:r>
        <w:t xml:space="preserve">In the</w:t>
      </w:r>
      <w:r>
        <w:t xml:space="preserve"> </w:t>
      </w:r>
      <w:r>
        <w:rPr>
          <w:i/>
          <w:iCs/>
        </w:rPr>
        <w:t xml:space="preserve">shared-frame</w:t>
      </w:r>
      <w:r>
        <w:t xml:space="preserve"> </w:t>
      </w:r>
      <w:r>
        <w:t xml:space="preserve">arm the initial state is</w:t>
      </w:r>
      <w:r>
        <w:t xml:space="preserve"> </w:t>
      </w:r>
      <m:oMath>
        <m:r>
          <m:rPr>
            <m:sty m:val="p"/>
          </m:rPr>
          <m:t>∣</m:t>
        </m:r>
        <m:r>
          <m:t>000</m:t>
        </m:r>
        <m:r>
          <m:rPr>
            <m:sty m:val="p"/>
          </m:rPr>
          <m:t>⟩</m:t>
        </m:r>
      </m:oMath>
      <w:r>
        <w:t xml:space="preserve">. In the</w:t>
      </w:r>
      <w:r>
        <w:t xml:space="preserve"> </w:t>
      </w:r>
      <w:r>
        <w:rPr>
          <w:i/>
          <w:iCs/>
        </w:rPr>
        <w:t xml:space="preserve">decoupled-preparation</w:t>
      </w:r>
      <w:r>
        <w:t xml:space="preserve"> </w:t>
      </w:r>
      <w:r>
        <w:t xml:space="preserve">arm it is</w:t>
      </w:r>
      <w:r>
        <w:t xml:space="preserve"> </w:t>
      </w:r>
      <m:oMath>
        <m:r>
          <m:t>W</m:t>
        </m:r>
        <m:r>
          <m:rPr>
            <m:sty m:val="p"/>
          </m:rPr>
          <m:t>∣</m:t>
        </m:r>
        <m:r>
          <m:t>000</m:t>
        </m:r>
        <m:r>
          <m:rPr>
            <m:sty m:val="p"/>
          </m:rPr>
          <m:t>⟩</m:t>
        </m:r>
      </m:oMath>
      <w:r>
        <w:t xml:space="preserve"> </w:t>
      </w:r>
      <w:r>
        <w:t xml:space="preserve">with</w:t>
      </w:r>
      <w:r>
        <w:t xml:space="preserve"> </w:t>
      </w:r>
      <m:oMath>
        <m:r>
          <m:t>W</m:t>
        </m:r>
      </m:oMath>
      <w:r>
        <w:t xml:space="preserve"> </w:t>
      </w:r>
      <w:r>
        <w:t xml:space="preserve">Haar-random, so by Section 4.3 it is Haar distributed. The coupling stays in the identity frame in both arms.</w:t>
      </w:r>
    </w:p>
    <w:bookmarkEnd w:id="23"/>
    <w:bookmarkStart w:id="24" w:name="s2.2-development-history"/>
    <w:p>
      <w:pPr>
        <w:pStyle w:val="Heading3"/>
      </w:pPr>
      <w:r>
        <w:t xml:space="preserve">S2.2 Development history</w:t>
      </w:r>
    </w:p>
    <w:p>
      <w:pPr>
        <w:pStyle w:val="FirstParagraph"/>
      </w:pPr>
      <w:r>
        <w:t xml:space="preserve">The first configuration used a single-qubit coupling</w:t>
      </w:r>
      <w:r>
        <w:t xml:space="preserve"> </w:t>
      </w:r>
      <m:oMath>
        <m:r>
          <m:t>X</m:t>
        </m:r>
        <m:r>
          <m:rPr>
            <m:sty m:val="p"/>
          </m:rPr>
          <m:t>⊗</m:t>
        </m:r>
        <m:r>
          <m:t>I</m:t>
        </m:r>
        <m:r>
          <m:rPr>
            <m:sty m:val="p"/>
          </m:rPr>
          <m:t>⊗</m:t>
        </m:r>
        <m:r>
          <m:t>I</m:t>
        </m:r>
      </m:oMath>
      <w:r>
        <w:t xml:space="preserve">,</w:t>
      </w:r>
      <w:r>
        <w:t xml:space="preserve"> </w:t>
      </w:r>
      <m:oMath>
        <m:r>
          <m:t>λ</m:t>
        </m:r>
        <m:r>
          <m:rPr>
            <m:sty m:val="p"/>
          </m:rPr>
          <m:t>=</m:t>
        </m:r>
        <m:r>
          <m:t>4</m:t>
        </m:r>
      </m:oMath>
      <w:r>
        <w:t xml:space="preserve"> </w:t>
      </w:r>
      <w:r>
        <w:t xml:space="preserve">and nine times in</w:t>
      </w:r>
      <w:r>
        <w:t xml:space="preserve"> </w:t>
      </w:r>
      <m:oMath>
        <m:r>
          <m:rPr>
            <m:sty m:val="p"/>
          </m:rPr>
          <m:t>[</m:t>
        </m:r>
        <m:r>
          <m:t>0.3</m:t>
        </m:r>
        <m:r>
          <m:rPr>
            <m:sty m:val="p"/>
          </m:rPr>
          <m:t>,</m:t>
        </m:r>
        <m:r>
          <m:t>1.5</m:t>
        </m:r>
        <m:r>
          <m:rPr>
            <m:sty m:val="p"/>
          </m:rPr>
          <m:t>]</m:t>
        </m:r>
      </m:oMath>
      <w:r>
        <w:t xml:space="preserve">. Records qualified in 1% of shared-frame models and in none of the decoupled models (</w:t>
      </w:r>
      <m:oMath>
        <m:r>
          <m:t>A</m:t>
        </m:r>
        <m:r>
          <m:rPr>
            <m:sty m:val="p"/>
          </m:rPr>
          <m:t>=</m:t>
        </m:r>
        <m:r>
          <m:t>0.010</m:t>
        </m:r>
      </m:oMath>
      <w:r>
        <w:t xml:space="preserve"> </w:t>
      </w:r>
      <w:r>
        <w:t xml:space="preserve">and</w:t>
      </w:r>
      <w:r>
        <w:t xml:space="preserve"> </w:t>
      </w:r>
      <m:oMath>
        <m:r>
          <m:t>0.000</m:t>
        </m:r>
      </m:oMath>
      <w:r>
        <w:t xml:space="preserve">). The coupling was then changed to the star operator, the time window was narrowed, and a grid over</w:t>
      </w:r>
      <w:r>
        <w:t xml:space="preserve"> </w:t>
      </w:r>
      <m:oMath>
        <m:r>
          <m:t>λ</m:t>
        </m:r>
      </m:oMath>
      <w:r>
        <w:t xml:space="preserve"> </w:t>
      </w:r>
      <w:r>
        <w:t xml:space="preserve">was added. All results below use the changed configuration, which was frozen on 25 September 2026.</w:t>
      </w:r>
    </w:p>
    <w:bookmarkEnd w:id="24"/>
    <w:bookmarkStart w:id="25" w:name="s2.3-shared-versus-decoupled-preparation"/>
    <w:p>
      <w:pPr>
        <w:pStyle w:val="Heading3"/>
      </w:pPr>
      <w:r>
        <w:t xml:space="preserve">S2.3 Shared versus decoupled preparation</w:t>
      </w:r>
    </w:p>
    <w:p>
      <w:pPr>
        <w:pStyle w:val="FirstParagraph"/>
        <w:keepNext/>
      </w:pPr>
      <w:r>
        <w:rPr>
          <w:b/>
          <w:bCs/>
        </w:rPr>
        <w:t xml:space="preserve">Table S4. Association results by arm (200 models per cell; Hoeffding 95% intervals clipped at</w:t>
      </w:r>
      <w:r>
        <w:rPr>
          <w:b/>
          <w:bCs/>
        </w:rPr>
        <w:t xml:space="preserve"> </w:t>
      </w:r>
      <m:oMath>
        <m:r>
          <m:t>1</m:t>
        </m:r>
        <m:r>
          <m:rPr>
            <m:sty m:val="p"/>
          </m:rPr>
          <m:t>−</m:t>
        </m:r>
        <m:r>
          <m:t>1</m:t>
        </m:r>
        <m:r>
          <m:rPr>
            <m:sty m:val="p"/>
          </m:rPr>
          <m:t>/</m:t>
        </m:r>
        <m:r>
          <m:t>N</m:t>
        </m:r>
        <m:r>
          <m:rPr>
            <m:sty m:val="p"/>
          </m:rPr>
          <m:t>=</m:t>
        </m:r>
        <m:r>
          <m:t>0.95</m:t>
        </m:r>
      </m:oMath>
      <w:r>
        <w:rPr>
          <w:b/>
          <w:bCs/>
        </w:rPr>
        <w:t xml:space="preserve">).</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983"/>
        <w:gridCol w:w="1376"/>
        <w:gridCol w:w="1573"/>
        <w:gridCol w:w="1376"/>
        <w:gridCol w:w="1376"/>
        <w:gridCol w:w="1376"/>
        <w:gridCol w:w="1770"/>
      </w:tblGrid>
      <w:tr>
        <w:trPr>
          <w:tblHeader w:val="on"/>
          <w:tblHeader/>
          <w:cantSplit/>
        </w:trPr>
        <w:tc>
          <w:tcPr>
            <w:shd w:fill="EAF0F4"/>
            <w:tcW w:type="dxa" w:w="983"/>
            <w:vAlign w:val="top"/>
          </w:tcPr>
          <w:p>
            <w:pPr>
              <w:pStyle w:val="Compact"/>
              <w:spacing w:after="60" w:line="240" w:lineRule="auto"/>
              <w:jc w:val="left"/>
            </w:pPr>
            <m:oMath>
              <m:r>
                <m:t>λ</m:t>
              </m:r>
            </m:oMath>
          </w:p>
        </w:tc>
        <w:tc>
          <w:tcPr>
            <w:shd w:fill="EAF0F4"/>
            <w:tcW w:type="dxa" w:w="1376"/>
            <w:vAlign w:val="top"/>
          </w:tcPr>
          <w:p>
            <w:pPr>
              <w:pStyle w:val="Compact"/>
              <w:spacing w:after="60" w:line="240" w:lineRule="auto"/>
              <w:jc w:val="left"/>
            </w:pPr>
            <w:r>
              <w:rPr>
                <w:rFonts w:ascii="Carlito" w:hAnsi="Carlito"/>
                <w:b/>
                <w:sz w:val="17"/>
              </w:rPr>
              <w:t xml:space="preserve">Arm</w:t>
            </w:r>
          </w:p>
        </w:tc>
        <w:tc>
          <w:tcPr>
            <w:shd w:fill="EAF0F4"/>
            <w:tcW w:type="dxa" w:w="1573"/>
            <w:vAlign w:val="top"/>
          </w:tcPr>
          <w:p>
            <w:pPr>
              <w:pStyle w:val="Compact"/>
              <w:spacing w:after="60" w:line="240" w:lineRule="auto"/>
              <w:jc w:val="left"/>
            </w:pPr>
            <w:r>
              <w:rPr>
                <w:rFonts w:ascii="Carlito" w:hAnsi="Carlito"/>
                <w:b/>
                <w:sz w:val="17"/>
              </w:rPr>
              <w:t xml:space="preserve">Records qualify</w:t>
            </w:r>
          </w:p>
        </w:tc>
        <w:tc>
          <w:tcPr>
            <w:shd w:fill="EAF0F4"/>
            <w:tcW w:type="dxa" w:w="1376"/>
            <w:vAlign w:val="top"/>
          </w:tcPr>
          <w:p>
            <w:pPr>
              <w:pStyle w:val="Compact"/>
              <w:spacing w:after="60" w:line="240" w:lineRule="auto"/>
              <w:jc w:val="left"/>
            </w:pPr>
            <m:oMath>
              <m:acc>
                <m:accPr>
                  <m:chr m:val="‾"/>
                </m:accPr>
                <m:e>
                  <m:r>
                    <m:t>A</m:t>
                  </m:r>
                </m:e>
              </m:acc>
            </m:oMath>
          </w:p>
        </w:tc>
        <w:tc>
          <w:tcPr>
            <w:shd w:fill="EAF0F4"/>
            <w:tcW w:type="dxa" w:w="1376"/>
            <w:vAlign w:val="top"/>
          </w:tcPr>
          <w:p>
            <w:pPr>
              <w:pStyle w:val="Compact"/>
              <w:spacing w:after="60" w:line="240" w:lineRule="auto"/>
              <w:jc w:val="left"/>
            </w:pPr>
            <m:oMath>
              <m:acc>
                <m:accPr>
                  <m:chr m:val="‾"/>
                </m:accPr>
                <m:e>
                  <m:r>
                    <m:t>q</m:t>
                  </m:r>
                </m:e>
              </m:acc>
            </m:oMath>
          </w:p>
        </w:tc>
        <w:tc>
          <w:tcPr>
            <w:shd w:fill="EAF0F4"/>
            <w:tcW w:type="dxa" w:w="1376"/>
            <w:vAlign w:val="top"/>
          </w:tcPr>
          <w:p>
            <w:pPr>
              <w:pStyle w:val="Compact"/>
              <w:spacing w:after="60" w:line="240" w:lineRule="auto"/>
              <w:jc w:val="left"/>
            </w:pPr>
            <m:oMath>
              <m:acc>
                <m:accPr>
                  <m:chr m:val="̂"/>
                </m:accPr>
                <m:e>
                  <m:r>
                    <m:t>d</m:t>
                  </m:r>
                </m:e>
              </m:acc>
            </m:oMath>
          </w:p>
        </w:tc>
        <w:tc>
          <w:tcPr>
            <w:shd w:fill="EAF0F4"/>
            <w:tcW w:type="dxa" w:w="1770"/>
            <w:vAlign w:val="top"/>
          </w:tcPr>
          <w:p>
            <w:pPr>
              <w:pStyle w:val="Compact"/>
              <w:spacing w:after="60" w:line="240" w:lineRule="auto"/>
              <w:jc w:val="left"/>
            </w:pPr>
            <w:r>
              <w:rPr>
                <w:rFonts w:ascii="Carlito" w:hAnsi="Carlito"/>
                <w:b/>
                <w:sz w:val="17"/>
              </w:rPr>
              <w:t xml:space="preserve">95% interval</w:t>
            </w:r>
          </w:p>
        </w:tc>
      </w:tr>
      <w:tr>
        <w:trPr>
          <w:cantSplit/>
        </w:trPr>
        <w:tc>
          <w:tcPr>
            <w:tcW w:type="dxa" w:w="983"/>
            <w:vAlign w:val="top"/>
          </w:tcPr>
          <w:p>
            <w:pPr>
              <w:pStyle w:val="Compact"/>
              <w:spacing w:after="60" w:line="240" w:lineRule="auto"/>
              <w:jc w:val="left"/>
            </w:pPr>
            <w:r>
              <w:rPr>
                <w:rFonts w:ascii="Carlito" w:hAnsi="Carlito"/>
                <w:sz w:val="17"/>
              </w:rPr>
              <w:t xml:space="preserve">0.3</w:t>
            </w:r>
          </w:p>
        </w:tc>
        <w:tc>
          <w:tcPr>
            <w:tcW w:type="dxa" w:w="1376"/>
            <w:vAlign w:val="top"/>
          </w:tcPr>
          <w:p>
            <w:pPr>
              <w:pStyle w:val="Compact"/>
              <w:spacing w:after="60" w:line="240" w:lineRule="auto"/>
              <w:jc w:val="left"/>
            </w:pPr>
            <w:r>
              <w:rPr>
                <w:rFonts w:ascii="Carlito" w:hAnsi="Carlito"/>
                <w:sz w:val="17"/>
              </w:rPr>
              <w:t xml:space="preserve">shared</w:t>
            </w:r>
          </w:p>
        </w:tc>
        <w:tc>
          <w:tcPr>
            <w:tcW w:type="dxa" w:w="1573"/>
            <w:vAlign w:val="top"/>
          </w:tcPr>
          <w:p>
            <w:pPr>
              <w:pStyle w:val="Compact"/>
              <w:spacing w:after="60" w:line="240" w:lineRule="auto"/>
              <w:jc w:val="left"/>
            </w:pPr>
            <w:r>
              <w:rPr>
                <w:rFonts w:ascii="Carlito" w:hAnsi="Carlito"/>
                <w:sz w:val="17"/>
              </w:rPr>
              <w:t xml:space="preserve">1.000</w:t>
            </w:r>
          </w:p>
        </w:tc>
        <w:tc>
          <w:tcPr>
            <w:tcW w:type="dxa" w:w="1376"/>
            <w:vAlign w:val="top"/>
          </w:tcPr>
          <w:p>
            <w:pPr>
              <w:pStyle w:val="Compact"/>
              <w:spacing w:after="60" w:line="240" w:lineRule="auto"/>
              <w:jc w:val="left"/>
            </w:pPr>
            <w:r>
              <w:rPr>
                <w:rFonts w:ascii="Carlito" w:hAnsi="Carlito"/>
                <w:sz w:val="17"/>
              </w:rPr>
              <w:t xml:space="preserve">1.000</w:t>
            </w:r>
          </w:p>
        </w:tc>
        <w:tc>
          <w:tcPr>
            <w:tcW w:type="dxa" w:w="1376"/>
            <w:vAlign w:val="top"/>
          </w:tcPr>
          <w:p>
            <w:pPr>
              <w:pStyle w:val="Compact"/>
              <w:spacing w:after="60" w:line="240" w:lineRule="auto"/>
              <w:jc w:val="left"/>
            </w:pPr>
            <w:r>
              <w:rPr>
                <w:rFonts w:ascii="Carlito" w:hAnsi="Carlito"/>
                <w:sz w:val="17"/>
              </w:rPr>
              <w:t xml:space="preserve">0.050</w:t>
            </w:r>
          </w:p>
        </w:tc>
        <w:tc>
          <w:tcPr>
            <w:tcW w:type="dxa" w:w="1376"/>
            <w:vAlign w:val="top"/>
          </w:tcPr>
          <w:p>
            <w:pPr>
              <w:pStyle w:val="Compact"/>
              <w:spacing w:after="60" w:line="240" w:lineRule="auto"/>
              <w:jc w:val="left"/>
            </w:pPr>
            <w:r>
              <w:rPr>
                <w:rFonts w:ascii="Carlito" w:hAnsi="Carlito"/>
                <w:sz w:val="17"/>
              </w:rPr>
              <w:t xml:space="preserve">0.950</w:t>
            </w:r>
          </w:p>
        </w:tc>
        <w:tc>
          <w:tcPr>
            <w:tcW w:type="dxa" w:w="1770"/>
            <w:vAlign w:val="top"/>
          </w:tcPr>
          <w:p>
            <w:pPr>
              <w:pStyle w:val="Compact"/>
              <w:spacing w:after="60" w:line="240" w:lineRule="auto"/>
              <w:jc w:val="left"/>
            </w:pPr>
            <w:r>
              <w:rPr>
                <w:rFonts w:ascii="Carlito" w:hAnsi="Carlito"/>
                <w:sz w:val="17"/>
              </w:rPr>
              <w:t xml:space="preserve">[0.758, 0.950]</w:t>
            </w:r>
          </w:p>
        </w:tc>
      </w:tr>
      <w:tr>
        <w:trPr>
          <w:cantSplit/>
        </w:trPr>
        <w:tc>
          <w:tcPr>
            <w:tcW w:type="dxa" w:w="983"/>
            <w:vAlign w:val="top"/>
          </w:tcPr>
          <w:p>
            <w:pPr>
              <w:pStyle w:val="Compact"/>
              <w:spacing w:after="60" w:line="240" w:lineRule="auto"/>
              <w:jc w:val="left"/>
            </w:pPr>
            <w:r>
              <w:rPr>
                <w:rFonts w:ascii="Carlito" w:hAnsi="Carlito"/>
                <w:sz w:val="17"/>
              </w:rPr>
              <w:t xml:space="preserve">0.3</w:t>
            </w:r>
          </w:p>
        </w:tc>
        <w:tc>
          <w:tcPr>
            <w:tcW w:type="dxa" w:w="1376"/>
            <w:vAlign w:val="top"/>
          </w:tcPr>
          <w:p>
            <w:pPr>
              <w:pStyle w:val="Compact"/>
              <w:spacing w:after="60" w:line="240" w:lineRule="auto"/>
              <w:jc w:val="left"/>
            </w:pPr>
            <w:r>
              <w:rPr>
                <w:rFonts w:ascii="Carlito" w:hAnsi="Carlito"/>
                <w:sz w:val="17"/>
              </w:rPr>
              <w:t xml:space="preserve">decoupled</w:t>
            </w:r>
          </w:p>
        </w:tc>
        <w:tc>
          <w:tcPr>
            <w:tcW w:type="dxa" w:w="1573"/>
            <w:vAlign w:val="top"/>
          </w:tcPr>
          <w:p>
            <w:pPr>
              <w:pStyle w:val="Compact"/>
              <w:spacing w:after="60" w:line="240" w:lineRule="auto"/>
              <w:jc w:val="left"/>
            </w:pPr>
            <w:r>
              <w:rPr>
                <w:rFonts w:ascii="Carlito" w:hAnsi="Carlito"/>
                <w:sz w:val="17"/>
              </w:rPr>
              <w:t xml:space="preserve">0.095</w:t>
            </w:r>
          </w:p>
        </w:tc>
        <w:tc>
          <w:tcPr>
            <w:tcW w:type="dxa" w:w="1376"/>
            <w:vAlign w:val="top"/>
          </w:tcPr>
          <w:p>
            <w:pPr>
              <w:pStyle w:val="Compact"/>
              <w:spacing w:after="60" w:line="240" w:lineRule="auto"/>
              <w:jc w:val="left"/>
            </w:pPr>
            <w:r>
              <w:rPr>
                <w:rFonts w:ascii="Carlito" w:hAnsi="Carlito"/>
                <w:sz w:val="17"/>
              </w:rPr>
              <w:t xml:space="preserve">0.050</w:t>
            </w:r>
          </w:p>
        </w:tc>
        <w:tc>
          <w:tcPr>
            <w:tcW w:type="dxa" w:w="1376"/>
            <w:vAlign w:val="top"/>
          </w:tcPr>
          <w:p>
            <w:pPr>
              <w:pStyle w:val="Compact"/>
              <w:spacing w:after="60" w:line="240" w:lineRule="auto"/>
              <w:jc w:val="left"/>
            </w:pPr>
            <w:r>
              <w:rPr>
                <w:rFonts w:ascii="Carlito" w:hAnsi="Carlito"/>
                <w:sz w:val="17"/>
              </w:rPr>
              <w:t xml:space="preserve">0.005</w:t>
            </w:r>
          </w:p>
        </w:tc>
        <w:tc>
          <w:tcPr>
            <w:tcW w:type="dxa" w:w="1376"/>
            <w:vAlign w:val="top"/>
          </w:tcPr>
          <w:p>
            <w:pPr>
              <w:pStyle w:val="Compact"/>
              <w:spacing w:after="60" w:line="240" w:lineRule="auto"/>
              <w:jc w:val="left"/>
            </w:pPr>
            <w:r>
              <w:rPr>
                <w:rFonts w:ascii="Carlito" w:hAnsi="Carlito"/>
                <w:sz w:val="17"/>
              </w:rPr>
              <w:t xml:space="preserve">0.045</w:t>
            </w:r>
          </w:p>
        </w:tc>
        <w:tc>
          <w:tcPr>
            <w:tcW w:type="dxa" w:w="1770"/>
            <w:vAlign w:val="top"/>
          </w:tcPr>
          <w:p>
            <w:pPr>
              <w:pStyle w:val="Compact"/>
              <w:spacing w:after="60" w:line="240" w:lineRule="auto"/>
              <w:jc w:val="left"/>
            </w:pPr>
            <w:r>
              <w:rPr>
                <w:rFonts w:ascii="Carlito" w:hAnsi="Carlito"/>
                <w:sz w:val="17"/>
              </w:rPr>
              <w:t xml:space="preserve">[-0.147, 0.237]</w:t>
            </w:r>
          </w:p>
        </w:tc>
      </w:tr>
      <w:tr>
        <w:trPr>
          <w:cantSplit/>
        </w:trPr>
        <w:tc>
          <w:tcPr>
            <w:tcW w:type="dxa" w:w="983"/>
            <w:vAlign w:val="top"/>
          </w:tcPr>
          <w:p>
            <w:pPr>
              <w:pStyle w:val="Compact"/>
              <w:spacing w:after="60" w:line="240" w:lineRule="auto"/>
              <w:jc w:val="left"/>
            </w:pPr>
            <w:r>
              <w:rPr>
                <w:rFonts w:ascii="Carlito" w:hAnsi="Carlito"/>
                <w:sz w:val="17"/>
              </w:rPr>
              <w:t xml:space="preserve">1.0</w:t>
            </w:r>
          </w:p>
        </w:tc>
        <w:tc>
          <w:tcPr>
            <w:tcW w:type="dxa" w:w="1376"/>
            <w:vAlign w:val="top"/>
          </w:tcPr>
          <w:p>
            <w:pPr>
              <w:pStyle w:val="Compact"/>
              <w:spacing w:after="60" w:line="240" w:lineRule="auto"/>
              <w:jc w:val="left"/>
            </w:pPr>
            <w:r>
              <w:rPr>
                <w:rFonts w:ascii="Carlito" w:hAnsi="Carlito"/>
                <w:sz w:val="17"/>
              </w:rPr>
              <w:t xml:space="preserve">shared</w:t>
            </w:r>
          </w:p>
        </w:tc>
        <w:tc>
          <w:tcPr>
            <w:tcW w:type="dxa" w:w="1573"/>
            <w:vAlign w:val="top"/>
          </w:tcPr>
          <w:p>
            <w:pPr>
              <w:pStyle w:val="Compact"/>
              <w:spacing w:after="60" w:line="240" w:lineRule="auto"/>
              <w:jc w:val="left"/>
            </w:pPr>
            <w:r>
              <w:rPr>
                <w:rFonts w:ascii="Carlito" w:hAnsi="Carlito"/>
                <w:sz w:val="17"/>
              </w:rPr>
              <w:t xml:space="preserve">1.000</w:t>
            </w:r>
          </w:p>
        </w:tc>
        <w:tc>
          <w:tcPr>
            <w:tcW w:type="dxa" w:w="1376"/>
            <w:vAlign w:val="top"/>
          </w:tcPr>
          <w:p>
            <w:pPr>
              <w:pStyle w:val="Compact"/>
              <w:spacing w:after="60" w:line="240" w:lineRule="auto"/>
              <w:jc w:val="left"/>
            </w:pPr>
            <w:r>
              <w:rPr>
                <w:rFonts w:ascii="Carlito" w:hAnsi="Carlito"/>
                <w:sz w:val="17"/>
              </w:rPr>
              <w:t xml:space="preserve">1.000</w:t>
            </w:r>
          </w:p>
        </w:tc>
        <w:tc>
          <w:tcPr>
            <w:tcW w:type="dxa" w:w="1376"/>
            <w:vAlign w:val="top"/>
          </w:tcPr>
          <w:p>
            <w:pPr>
              <w:pStyle w:val="Compact"/>
              <w:spacing w:after="60" w:line="240" w:lineRule="auto"/>
              <w:jc w:val="left"/>
            </w:pPr>
            <w:r>
              <w:rPr>
                <w:rFonts w:ascii="Carlito" w:hAnsi="Carlito"/>
                <w:sz w:val="17"/>
              </w:rPr>
              <w:t xml:space="preserve">0.050</w:t>
            </w:r>
          </w:p>
        </w:tc>
        <w:tc>
          <w:tcPr>
            <w:tcW w:type="dxa" w:w="1376"/>
            <w:vAlign w:val="top"/>
          </w:tcPr>
          <w:p>
            <w:pPr>
              <w:pStyle w:val="Compact"/>
              <w:spacing w:after="60" w:line="240" w:lineRule="auto"/>
              <w:jc w:val="left"/>
            </w:pPr>
            <w:r>
              <w:rPr>
                <w:rFonts w:ascii="Carlito" w:hAnsi="Carlito"/>
                <w:sz w:val="17"/>
              </w:rPr>
              <w:t xml:space="preserve">0.950</w:t>
            </w:r>
          </w:p>
        </w:tc>
        <w:tc>
          <w:tcPr>
            <w:tcW w:type="dxa" w:w="1770"/>
            <w:vAlign w:val="top"/>
          </w:tcPr>
          <w:p>
            <w:pPr>
              <w:pStyle w:val="Compact"/>
              <w:spacing w:after="60" w:line="240" w:lineRule="auto"/>
              <w:jc w:val="left"/>
            </w:pPr>
            <w:r>
              <w:rPr>
                <w:rFonts w:ascii="Carlito" w:hAnsi="Carlito"/>
                <w:sz w:val="17"/>
              </w:rPr>
              <w:t xml:space="preserve">[0.758, 0.950]</w:t>
            </w:r>
          </w:p>
        </w:tc>
      </w:tr>
      <w:tr>
        <w:trPr>
          <w:cantSplit/>
        </w:trPr>
        <w:tc>
          <w:tcPr>
            <w:tcW w:type="dxa" w:w="983"/>
            <w:vAlign w:val="top"/>
          </w:tcPr>
          <w:p>
            <w:pPr>
              <w:pStyle w:val="Compact"/>
              <w:spacing w:after="60" w:line="240" w:lineRule="auto"/>
              <w:jc w:val="left"/>
            </w:pPr>
            <w:r>
              <w:rPr>
                <w:rFonts w:ascii="Carlito" w:hAnsi="Carlito"/>
                <w:sz w:val="17"/>
              </w:rPr>
              <w:t xml:space="preserve">1.0</w:t>
            </w:r>
          </w:p>
        </w:tc>
        <w:tc>
          <w:tcPr>
            <w:tcW w:type="dxa" w:w="1376"/>
            <w:vAlign w:val="top"/>
          </w:tcPr>
          <w:p>
            <w:pPr>
              <w:pStyle w:val="Compact"/>
              <w:spacing w:after="60" w:line="240" w:lineRule="auto"/>
              <w:jc w:val="left"/>
            </w:pPr>
            <w:r>
              <w:rPr>
                <w:rFonts w:ascii="Carlito" w:hAnsi="Carlito"/>
                <w:sz w:val="17"/>
              </w:rPr>
              <w:t xml:space="preserve">decoupled</w:t>
            </w:r>
          </w:p>
        </w:tc>
        <w:tc>
          <w:tcPr>
            <w:tcW w:type="dxa" w:w="1573"/>
            <w:vAlign w:val="top"/>
          </w:tcPr>
          <w:p>
            <w:pPr>
              <w:pStyle w:val="Compact"/>
              <w:spacing w:after="60" w:line="240" w:lineRule="auto"/>
              <w:jc w:val="left"/>
            </w:pPr>
            <w:r>
              <w:rPr>
                <w:rFonts w:ascii="Carlito" w:hAnsi="Carlito"/>
                <w:sz w:val="17"/>
              </w:rPr>
              <w:t xml:space="preserve">0.060</w:t>
            </w:r>
          </w:p>
        </w:tc>
        <w:tc>
          <w:tcPr>
            <w:tcW w:type="dxa" w:w="1376"/>
            <w:vAlign w:val="top"/>
          </w:tcPr>
          <w:p>
            <w:pPr>
              <w:pStyle w:val="Compact"/>
              <w:spacing w:after="60" w:line="240" w:lineRule="auto"/>
              <w:jc w:val="left"/>
            </w:pPr>
            <w:r>
              <w:rPr>
                <w:rFonts w:ascii="Carlito" w:hAnsi="Carlito"/>
                <w:sz w:val="17"/>
              </w:rPr>
              <w:t xml:space="preserve">0.025</w:t>
            </w:r>
          </w:p>
        </w:tc>
        <w:tc>
          <w:tcPr>
            <w:tcW w:type="dxa" w:w="1376"/>
            <w:vAlign w:val="top"/>
          </w:tcPr>
          <w:p>
            <w:pPr>
              <w:pStyle w:val="Compact"/>
              <w:spacing w:after="60" w:line="240" w:lineRule="auto"/>
              <w:jc w:val="left"/>
            </w:pPr>
            <w:r>
              <w:rPr>
                <w:rFonts w:ascii="Carlito" w:hAnsi="Carlito"/>
                <w:sz w:val="17"/>
              </w:rPr>
              <w:t xml:space="preserve">0.003</w:t>
            </w:r>
          </w:p>
        </w:tc>
        <w:tc>
          <w:tcPr>
            <w:tcW w:type="dxa" w:w="1376"/>
            <w:vAlign w:val="top"/>
          </w:tcPr>
          <w:p>
            <w:pPr>
              <w:pStyle w:val="Compact"/>
              <w:spacing w:after="60" w:line="240" w:lineRule="auto"/>
              <w:jc w:val="left"/>
            </w:pPr>
            <w:r>
              <w:rPr>
                <w:rFonts w:ascii="Carlito" w:hAnsi="Carlito"/>
                <w:sz w:val="17"/>
              </w:rPr>
              <w:t xml:space="preserve">0.022</w:t>
            </w:r>
          </w:p>
        </w:tc>
        <w:tc>
          <w:tcPr>
            <w:tcW w:type="dxa" w:w="1770"/>
            <w:vAlign w:val="top"/>
          </w:tcPr>
          <w:p>
            <w:pPr>
              <w:pStyle w:val="Compact"/>
              <w:spacing w:after="60" w:line="240" w:lineRule="auto"/>
              <w:jc w:val="left"/>
            </w:pPr>
            <w:r>
              <w:rPr>
                <w:rFonts w:ascii="Carlito" w:hAnsi="Carlito"/>
                <w:sz w:val="17"/>
              </w:rPr>
              <w:t xml:space="preserve">[-0.170, 0.214]</w:t>
            </w:r>
          </w:p>
        </w:tc>
      </w:tr>
      <w:tr>
        <w:trPr>
          <w:cantSplit/>
        </w:trPr>
        <w:tc>
          <w:tcPr>
            <w:tcW w:type="dxa" w:w="983"/>
            <w:vAlign w:val="top"/>
          </w:tcPr>
          <w:p>
            <w:pPr>
              <w:pStyle w:val="Compact"/>
              <w:spacing w:after="60" w:line="240" w:lineRule="auto"/>
              <w:jc w:val="left"/>
            </w:pPr>
            <w:r>
              <w:rPr>
                <w:rFonts w:ascii="Carlito" w:hAnsi="Carlito"/>
                <w:sz w:val="17"/>
              </w:rPr>
              <w:t xml:space="preserve">4.0</w:t>
            </w:r>
          </w:p>
        </w:tc>
        <w:tc>
          <w:tcPr>
            <w:tcW w:type="dxa" w:w="1376"/>
            <w:vAlign w:val="top"/>
          </w:tcPr>
          <w:p>
            <w:pPr>
              <w:pStyle w:val="Compact"/>
              <w:spacing w:after="60" w:line="240" w:lineRule="auto"/>
              <w:jc w:val="left"/>
            </w:pPr>
            <w:r>
              <w:rPr>
                <w:rFonts w:ascii="Carlito" w:hAnsi="Carlito"/>
                <w:sz w:val="17"/>
              </w:rPr>
              <w:t xml:space="preserve">shared</w:t>
            </w:r>
          </w:p>
        </w:tc>
        <w:tc>
          <w:tcPr>
            <w:tcW w:type="dxa" w:w="1573"/>
            <w:vAlign w:val="top"/>
          </w:tcPr>
          <w:p>
            <w:pPr>
              <w:pStyle w:val="Compact"/>
              <w:spacing w:after="60" w:line="240" w:lineRule="auto"/>
              <w:jc w:val="left"/>
            </w:pPr>
            <w:r>
              <w:rPr>
                <w:rFonts w:ascii="Carlito" w:hAnsi="Carlito"/>
                <w:sz w:val="17"/>
              </w:rPr>
              <w:t xml:space="preserve">0.320</w:t>
            </w:r>
          </w:p>
        </w:tc>
        <w:tc>
          <w:tcPr>
            <w:tcW w:type="dxa" w:w="1376"/>
            <w:vAlign w:val="top"/>
          </w:tcPr>
          <w:p>
            <w:pPr>
              <w:pStyle w:val="Compact"/>
              <w:spacing w:after="60" w:line="240" w:lineRule="auto"/>
              <w:jc w:val="left"/>
            </w:pPr>
            <w:r>
              <w:rPr>
                <w:rFonts w:ascii="Carlito" w:hAnsi="Carlito"/>
                <w:sz w:val="17"/>
              </w:rPr>
              <w:t xml:space="preserve">0.255</w:t>
            </w:r>
          </w:p>
        </w:tc>
        <w:tc>
          <w:tcPr>
            <w:tcW w:type="dxa" w:w="1376"/>
            <w:vAlign w:val="top"/>
          </w:tcPr>
          <w:p>
            <w:pPr>
              <w:pStyle w:val="Compact"/>
              <w:spacing w:after="60" w:line="240" w:lineRule="auto"/>
              <w:jc w:val="left"/>
            </w:pPr>
            <w:r>
              <w:rPr>
                <w:rFonts w:ascii="Carlito" w:hAnsi="Carlito"/>
                <w:sz w:val="17"/>
              </w:rPr>
              <w:t xml:space="preserve">0.016</w:t>
            </w:r>
          </w:p>
        </w:tc>
        <w:tc>
          <w:tcPr>
            <w:tcW w:type="dxa" w:w="1376"/>
            <w:vAlign w:val="top"/>
          </w:tcPr>
          <w:p>
            <w:pPr>
              <w:pStyle w:val="Compact"/>
              <w:spacing w:after="60" w:line="240" w:lineRule="auto"/>
              <w:jc w:val="left"/>
            </w:pPr>
            <w:r>
              <w:rPr>
                <w:rFonts w:ascii="Carlito" w:hAnsi="Carlito"/>
                <w:sz w:val="17"/>
              </w:rPr>
              <w:t xml:space="preserve">0.239</w:t>
            </w:r>
          </w:p>
        </w:tc>
        <w:tc>
          <w:tcPr>
            <w:tcW w:type="dxa" w:w="1770"/>
            <w:vAlign w:val="top"/>
          </w:tcPr>
          <w:p>
            <w:pPr>
              <w:pStyle w:val="Compact"/>
              <w:spacing w:after="60" w:line="240" w:lineRule="auto"/>
              <w:jc w:val="left"/>
            </w:pPr>
            <w:r>
              <w:rPr>
                <w:rFonts w:ascii="Carlito" w:hAnsi="Carlito"/>
                <w:sz w:val="17"/>
              </w:rPr>
              <w:t xml:space="preserve">[0.047, 0.431]</w:t>
            </w:r>
          </w:p>
        </w:tc>
      </w:tr>
      <w:tr>
        <w:trPr>
          <w:cantSplit/>
        </w:trPr>
        <w:tc>
          <w:tcPr>
            <w:tcW w:type="dxa" w:w="983"/>
            <w:vAlign w:val="top"/>
          </w:tcPr>
          <w:p>
            <w:pPr>
              <w:pStyle w:val="Compact"/>
              <w:spacing w:after="60" w:line="240" w:lineRule="auto"/>
              <w:jc w:val="left"/>
            </w:pPr>
            <w:r>
              <w:rPr>
                <w:rFonts w:ascii="Carlito" w:hAnsi="Carlito"/>
                <w:sz w:val="17"/>
              </w:rPr>
              <w:t xml:space="preserve">4.0</w:t>
            </w:r>
          </w:p>
        </w:tc>
        <w:tc>
          <w:tcPr>
            <w:tcW w:type="dxa" w:w="1376"/>
            <w:vAlign w:val="top"/>
          </w:tcPr>
          <w:p>
            <w:pPr>
              <w:pStyle w:val="Compact"/>
              <w:spacing w:after="60" w:line="240" w:lineRule="auto"/>
              <w:jc w:val="left"/>
            </w:pPr>
            <w:r>
              <w:rPr>
                <w:rFonts w:ascii="Carlito" w:hAnsi="Carlito"/>
                <w:sz w:val="17"/>
              </w:rPr>
              <w:t xml:space="preserve">decoupled</w:t>
            </w:r>
          </w:p>
        </w:tc>
        <w:tc>
          <w:tcPr>
            <w:tcW w:type="dxa" w:w="1573"/>
            <w:vAlign w:val="top"/>
          </w:tcPr>
          <w:p>
            <w:pPr>
              <w:pStyle w:val="Compact"/>
              <w:spacing w:after="60" w:line="240" w:lineRule="auto"/>
              <w:jc w:val="left"/>
            </w:pPr>
            <w:r>
              <w:rPr>
                <w:rFonts w:ascii="Carlito" w:hAnsi="Carlito"/>
                <w:sz w:val="17"/>
              </w:rPr>
              <w:t xml:space="preserve">0.030</w:t>
            </w:r>
          </w:p>
        </w:tc>
        <w:tc>
          <w:tcPr>
            <w:tcW w:type="dxa" w:w="1376"/>
            <w:vAlign w:val="top"/>
          </w:tcPr>
          <w:p>
            <w:pPr>
              <w:pStyle w:val="Compact"/>
              <w:spacing w:after="60" w:line="240" w:lineRule="auto"/>
              <w:jc w:val="left"/>
            </w:pPr>
            <w:r>
              <w:rPr>
                <w:rFonts w:ascii="Carlito" w:hAnsi="Carlito"/>
                <w:sz w:val="17"/>
              </w:rPr>
              <w:t xml:space="preserve">0.005</w:t>
            </w:r>
          </w:p>
        </w:tc>
        <w:tc>
          <w:tcPr>
            <w:tcW w:type="dxa" w:w="1376"/>
            <w:vAlign w:val="top"/>
          </w:tcPr>
          <w:p>
            <w:pPr>
              <w:pStyle w:val="Compact"/>
              <w:spacing w:after="60" w:line="240" w:lineRule="auto"/>
              <w:jc w:val="left"/>
            </w:pPr>
            <w:r>
              <w:rPr>
                <w:rFonts w:ascii="Carlito" w:hAnsi="Carlito"/>
                <w:sz w:val="17"/>
              </w:rPr>
              <w:t xml:space="preserve">0.002</w:t>
            </w:r>
          </w:p>
        </w:tc>
        <w:tc>
          <w:tcPr>
            <w:tcW w:type="dxa" w:w="1376"/>
            <w:vAlign w:val="top"/>
          </w:tcPr>
          <w:p>
            <w:pPr>
              <w:pStyle w:val="Compact"/>
              <w:spacing w:after="60" w:line="240" w:lineRule="auto"/>
              <w:jc w:val="left"/>
            </w:pPr>
            <w:r>
              <w:rPr>
                <w:rFonts w:ascii="Carlito" w:hAnsi="Carlito"/>
                <w:sz w:val="17"/>
              </w:rPr>
              <w:t xml:space="preserve">0.004</w:t>
            </w:r>
          </w:p>
        </w:tc>
        <w:tc>
          <w:tcPr>
            <w:tcW w:type="dxa" w:w="1770"/>
            <w:vAlign w:val="top"/>
          </w:tcPr>
          <w:p>
            <w:pPr>
              <w:pStyle w:val="Compact"/>
              <w:spacing w:after="60" w:line="240" w:lineRule="auto"/>
              <w:jc w:val="left"/>
            </w:pPr>
            <w:r>
              <w:rPr>
                <w:rFonts w:ascii="Carlito" w:hAnsi="Carlito"/>
                <w:sz w:val="17"/>
              </w:rPr>
              <w:t xml:space="preserve">[-0.189, 0.196]</w:t>
            </w:r>
          </w:p>
        </w:tc>
      </w:tr>
    </w:tbl>
    <w:p>
      <w:pPr>
        <w:pStyle w:val="BodyText"/>
      </w:pPr>
      <w:r>
        <w:t xml:space="preserve">In the shared arm, the most local candidate hosts the records in every model at</w:t>
      </w:r>
      <w:r>
        <w:t xml:space="preserve"> </w:t>
      </w:r>
      <m:oMath>
        <m:r>
          <m:t>λ</m:t>
        </m:r>
        <m:r>
          <m:rPr>
            <m:sty m:val="p"/>
          </m:rPr>
          <m:t>≤</m:t>
        </m:r>
        <m:r>
          <m:t>1</m:t>
        </m:r>
      </m:oMath>
      <w:r>
        <w:t xml:space="preserve">, and the descriptive estimate is</w:t>
      </w:r>
      <w:r>
        <w:t xml:space="preserve"> </w:t>
      </w:r>
      <m:oMath>
        <m:r>
          <m:t>0.95</m:t>
        </m:r>
      </m:oMath>
      <w:r>
        <w:t xml:space="preserve"> </w:t>
      </w:r>
      <w:r>
        <w:t xml:space="preserve">in these sampled cases. This agreement is facilitated by the shared inputs, not proved for every model by a coupling bound. At</w:t>
      </w:r>
      <w:r>
        <w:t xml:space="preserve"> </w:t>
      </w:r>
      <m:oMath>
        <m:r>
          <m:t>λ</m:t>
        </m:r>
        <m:r>
          <m:rPr>
            <m:sty m:val="p"/>
          </m:rPr>
          <m:t>=</m:t>
        </m:r>
        <m:r>
          <m:t>4</m:t>
        </m:r>
      </m:oMath>
      <w:r>
        <w:t xml:space="preserve"> </w:t>
      </w:r>
      <w:r>
        <w:t xml:space="preserve">the internal dynamics is comparable in norm to the coupling, and records qualify in only 32% of models. In the decoupled arm, records qualify rarely. In the reported cases they preferentially sit in the identity frame, where the coupling remains local. This association is consistent with the supplied interaction structure, not an isolated causal estimate.</w:t>
      </w:r>
    </w:p>
    <w:bookmarkEnd w:id="25"/>
    <w:bookmarkStart w:id="26" w:name="Xfea42a0ac09d3bff42bbc9c41d8288d29a9a497"/>
    <w:p>
      <w:pPr>
        <w:pStyle w:val="Heading3"/>
      </w:pPr>
      <w:r>
        <w:t xml:space="preserve">S2.4 Moving the preparation frame and the coupling frame</w:t>
      </w:r>
    </w:p>
    <w:p>
      <w:pPr>
        <w:pStyle w:val="FirstParagraph"/>
        <w:keepNext/>
      </w:pPr>
      <w:r>
        <w:rPr>
          <w:b/>
          <w:bCs/>
        </w:rPr>
        <w:t xml:space="preserve">Table S5. Preparation frame rotated by</w:t>
      </w:r>
      <w:r>
        <w:rPr>
          <w:b/>
          <w:bCs/>
        </w:rPr>
        <w:t xml:space="preserve"> </w:t>
      </w:r>
      <m:oMath>
        <m:r>
          <m:t>W</m:t>
        </m:r>
        <m:r>
          <m:rPr>
            <m:sty m:val="p"/>
          </m:rPr>
          <m:t>=</m:t>
        </m:r>
        <m:sSup>
          <m:e>
            <m:r>
              <m:t>e</m:t>
            </m:r>
          </m:e>
          <m:sup>
            <m:r>
              <m:rPr>
                <m:sty m:val="p"/>
              </m:rPr>
              <m:t>−</m:t>
            </m:r>
            <m:r>
              <m:t>i</m:t>
            </m:r>
            <m:r>
              <m:t>θ</m:t>
            </m:r>
            <m:r>
              <m:t>G</m:t>
            </m:r>
          </m:sup>
        </m:sSup>
      </m:oMath>
      <w:r>
        <w:rPr>
          <w:b/>
          <w:bCs/>
        </w:rPr>
        <w:t xml:space="preserve"> </w:t>
      </w:r>
      <w:r>
        <w:rPr>
          <w:b/>
          <w:bCs/>
        </w:rPr>
        <w:t xml:space="preserve">away from the dynamics frame</w:t>
      </w:r>
      <w:r>
        <w:t xml:space="preserve"> </w:t>
      </w:r>
      <w:r>
        <w:t xml:space="preserve">(</w:t>
      </w:r>
      <m:oMath>
        <m:r>
          <m:t>G</m:t>
        </m:r>
      </m:oMath>
      <w:r>
        <w:t xml:space="preserve"> </w:t>
      </w:r>
      <w:r>
        <w:t xml:space="preserve">a random Hermitian of unit spectral norm;</w:t>
      </w:r>
      <w:r>
        <w:t xml:space="preserve"> </w:t>
      </w:r>
      <m:oMath>
        <m:r>
          <m:t>λ</m:t>
        </m:r>
        <m:r>
          <m:rPr>
            <m:sty m:val="p"/>
          </m:rPr>
          <m:t>=</m:t>
        </m:r>
        <m:r>
          <m:t>0.3</m:t>
        </m:r>
      </m:oMath>
      <w:r>
        <w:t xml:space="preserve">; 100 models per row). The columns give the fraction of models in which records qualify anywhere, and in which the record-optimal set contains the dynamics frame, the preparation frame, or neither.</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180"/>
        <w:gridCol w:w="1671"/>
        <w:gridCol w:w="2360"/>
        <w:gridCol w:w="2458"/>
        <w:gridCol w:w="2163"/>
      </w:tblGrid>
      <w:tr>
        <w:trPr>
          <w:tblHeader w:val="on"/>
          <w:tblHeader/>
          <w:cantSplit/>
        </w:trPr>
        <w:tc>
          <w:tcPr>
            <w:shd w:fill="EAF0F4"/>
            <w:tcW w:type="dxa" w:w="1180"/>
            <w:vAlign w:val="top"/>
          </w:tcPr>
          <w:p>
            <w:pPr>
              <w:pStyle w:val="Compact"/>
              <w:spacing w:after="60" w:line="240" w:lineRule="auto"/>
              <w:jc w:val="left"/>
            </w:pPr>
            <m:oMath>
              <m:r>
                <m:t>θ</m:t>
              </m:r>
            </m:oMath>
          </w:p>
        </w:tc>
        <w:tc>
          <w:tcPr>
            <w:shd w:fill="EAF0F4"/>
            <w:tcW w:type="dxa" w:w="1671"/>
            <w:vAlign w:val="top"/>
          </w:tcPr>
          <w:p>
            <w:pPr>
              <w:pStyle w:val="Compact"/>
              <w:spacing w:after="60" w:line="240" w:lineRule="auto"/>
              <w:jc w:val="left"/>
            </w:pPr>
            <w:r>
              <w:rPr>
                <w:rFonts w:ascii="Carlito" w:hAnsi="Carlito"/>
                <w:b/>
                <w:sz w:val="17"/>
              </w:rPr>
              <w:t xml:space="preserve">Records anywhere</w:t>
            </w:r>
          </w:p>
        </w:tc>
        <w:tc>
          <w:tcPr>
            <w:shd w:fill="EAF0F4"/>
            <w:tcW w:type="dxa" w:w="2360"/>
            <w:vAlign w:val="top"/>
          </w:tcPr>
          <w:p>
            <w:pPr>
              <w:pStyle w:val="Compact"/>
              <w:spacing w:after="60" w:line="240" w:lineRule="auto"/>
              <w:jc w:val="left"/>
            </w:pPr>
            <w:r>
              <w:rPr>
                <w:rFonts w:ascii="Carlito" w:hAnsi="Carlito"/>
                <w:b/>
                <w:sz w:val="17"/>
              </w:rPr>
              <w:t xml:space="preserve">In dynamics frame</w:t>
            </w:r>
          </w:p>
        </w:tc>
        <w:tc>
          <w:tcPr>
            <w:shd w:fill="EAF0F4"/>
            <w:tcW w:type="dxa" w:w="2458"/>
            <w:vAlign w:val="top"/>
          </w:tcPr>
          <w:p>
            <w:pPr>
              <w:pStyle w:val="Compact"/>
              <w:spacing w:after="60" w:line="240" w:lineRule="auto"/>
              <w:jc w:val="left"/>
            </w:pPr>
            <w:r>
              <w:rPr>
                <w:rFonts w:ascii="Carlito" w:hAnsi="Carlito"/>
                <w:b/>
                <w:sz w:val="17"/>
              </w:rPr>
              <w:t xml:space="preserve">In preparation frame</w:t>
            </w:r>
          </w:p>
        </w:tc>
        <w:tc>
          <w:tcPr>
            <w:shd w:fill="EAF0F4"/>
            <w:tcW w:type="dxa" w:w="2163"/>
            <w:vAlign w:val="top"/>
          </w:tcPr>
          <w:p>
            <w:pPr>
              <w:pStyle w:val="Compact"/>
              <w:spacing w:after="60" w:line="240" w:lineRule="auto"/>
              <w:jc w:val="left"/>
            </w:pPr>
            <w:r>
              <w:rPr>
                <w:rFonts w:ascii="Carlito" w:hAnsi="Carlito"/>
                <w:b/>
                <w:sz w:val="17"/>
              </w:rPr>
              <w:t xml:space="preserve">Elsewhere</w:t>
            </w:r>
          </w:p>
        </w:tc>
      </w:tr>
      <w:tr>
        <w:trPr>
          <w:cantSplit/>
        </w:trPr>
        <w:tc>
          <w:tcPr>
            <w:tcW w:type="dxa" w:w="1180"/>
            <w:vAlign w:val="top"/>
          </w:tcPr>
          <w:p>
            <w:pPr>
              <w:pStyle w:val="Compact"/>
              <w:spacing w:after="60" w:line="240" w:lineRule="auto"/>
              <w:jc w:val="left"/>
            </w:pPr>
            <w:r>
              <w:rPr>
                <w:rFonts w:ascii="Carlito" w:hAnsi="Carlito"/>
                <w:sz w:val="17"/>
              </w:rPr>
              <w:t xml:space="preserve">0.0</w:t>
            </w:r>
          </w:p>
        </w:tc>
        <w:tc>
          <w:tcPr>
            <w:tcW w:type="dxa" w:w="1671"/>
            <w:vAlign w:val="top"/>
          </w:tcPr>
          <w:p>
            <w:pPr>
              <w:pStyle w:val="Compact"/>
              <w:spacing w:after="60" w:line="240" w:lineRule="auto"/>
              <w:jc w:val="left"/>
            </w:pPr>
            <w:r>
              <w:rPr>
                <w:rFonts w:ascii="Carlito" w:hAnsi="Carlito"/>
                <w:sz w:val="17"/>
              </w:rPr>
              <w:t xml:space="preserve">1.00</w:t>
            </w:r>
          </w:p>
        </w:tc>
        <w:tc>
          <w:tcPr>
            <w:tcW w:type="dxa" w:w="2360"/>
            <w:vAlign w:val="top"/>
          </w:tcPr>
          <w:p>
            <w:pPr>
              <w:pStyle w:val="Compact"/>
              <w:spacing w:after="60" w:line="240" w:lineRule="auto"/>
              <w:jc w:val="left"/>
            </w:pPr>
            <w:r>
              <w:rPr>
                <w:rFonts w:ascii="Carlito" w:hAnsi="Carlito"/>
                <w:sz w:val="17"/>
              </w:rPr>
              <w:t xml:space="preserve">1.00</w:t>
            </w:r>
          </w:p>
        </w:tc>
        <w:tc>
          <w:tcPr>
            <w:tcW w:type="dxa" w:w="2458"/>
            <w:vAlign w:val="top"/>
          </w:tcPr>
          <w:p>
            <w:pPr>
              <w:pStyle w:val="Compact"/>
              <w:spacing w:after="60" w:line="240" w:lineRule="auto"/>
              <w:jc w:val="left"/>
            </w:pPr>
            <w:r>
              <w:rPr>
                <w:rFonts w:ascii="Carlito" w:hAnsi="Carlito"/>
                <w:sz w:val="17"/>
              </w:rPr>
              <w:t xml:space="preserve">1.00</w:t>
            </w:r>
          </w:p>
        </w:tc>
        <w:tc>
          <w:tcPr>
            <w:tcW w:type="dxa" w:w="2163"/>
            <w:vAlign w:val="top"/>
          </w:tcPr>
          <w:p>
            <w:pPr>
              <w:pStyle w:val="Compact"/>
              <w:spacing w:after="60" w:line="240" w:lineRule="auto"/>
              <w:jc w:val="left"/>
            </w:pPr>
            <w:r>
              <w:rPr>
                <w:rFonts w:ascii="Carlito" w:hAnsi="Carlito"/>
                <w:sz w:val="17"/>
              </w:rPr>
              <w:t xml:space="preserve">0.00</w:t>
            </w:r>
          </w:p>
        </w:tc>
      </w:tr>
      <w:tr>
        <w:trPr>
          <w:cantSplit/>
        </w:trPr>
        <w:tc>
          <w:tcPr>
            <w:tcW w:type="dxa" w:w="1180"/>
            <w:vAlign w:val="top"/>
          </w:tcPr>
          <w:p>
            <w:pPr>
              <w:pStyle w:val="Compact"/>
              <w:spacing w:after="60" w:line="240" w:lineRule="auto"/>
              <w:jc w:val="left"/>
            </w:pPr>
            <w:r>
              <w:rPr>
                <w:rFonts w:ascii="Carlito" w:hAnsi="Carlito"/>
                <w:sz w:val="17"/>
              </w:rPr>
              <w:t xml:space="preserve">0.1</w:t>
            </w:r>
          </w:p>
        </w:tc>
        <w:tc>
          <w:tcPr>
            <w:tcW w:type="dxa" w:w="1671"/>
            <w:vAlign w:val="top"/>
          </w:tcPr>
          <w:p>
            <w:pPr>
              <w:pStyle w:val="Compact"/>
              <w:spacing w:after="60" w:line="240" w:lineRule="auto"/>
              <w:jc w:val="left"/>
            </w:pPr>
            <w:r>
              <w:rPr>
                <w:rFonts w:ascii="Carlito" w:hAnsi="Carlito"/>
                <w:sz w:val="17"/>
              </w:rPr>
              <w:t xml:space="preserve">1.00</w:t>
            </w:r>
          </w:p>
        </w:tc>
        <w:tc>
          <w:tcPr>
            <w:tcW w:type="dxa" w:w="2360"/>
            <w:vAlign w:val="top"/>
          </w:tcPr>
          <w:p>
            <w:pPr>
              <w:pStyle w:val="Compact"/>
              <w:spacing w:after="60" w:line="240" w:lineRule="auto"/>
              <w:jc w:val="left"/>
            </w:pPr>
            <w:r>
              <w:rPr>
                <w:rFonts w:ascii="Carlito" w:hAnsi="Carlito"/>
                <w:sz w:val="17"/>
              </w:rPr>
              <w:t xml:space="preserve">1.00</w:t>
            </w:r>
          </w:p>
        </w:tc>
        <w:tc>
          <w:tcPr>
            <w:tcW w:type="dxa" w:w="2458"/>
            <w:vAlign w:val="top"/>
          </w:tcPr>
          <w:p>
            <w:pPr>
              <w:pStyle w:val="Compact"/>
              <w:spacing w:after="60" w:line="240" w:lineRule="auto"/>
              <w:jc w:val="left"/>
            </w:pPr>
            <w:r>
              <w:rPr>
                <w:rFonts w:ascii="Carlito" w:hAnsi="Carlito"/>
                <w:sz w:val="17"/>
              </w:rPr>
              <w:t xml:space="preserve">1.00</w:t>
            </w:r>
          </w:p>
        </w:tc>
        <w:tc>
          <w:tcPr>
            <w:tcW w:type="dxa" w:w="2163"/>
            <w:vAlign w:val="top"/>
          </w:tcPr>
          <w:p>
            <w:pPr>
              <w:pStyle w:val="Compact"/>
              <w:spacing w:after="60" w:line="240" w:lineRule="auto"/>
              <w:jc w:val="left"/>
            </w:pPr>
            <w:r>
              <w:rPr>
                <w:rFonts w:ascii="Carlito" w:hAnsi="Carlito"/>
                <w:sz w:val="17"/>
              </w:rPr>
              <w:t xml:space="preserve">0.00</w:t>
            </w:r>
          </w:p>
        </w:tc>
      </w:tr>
      <w:tr>
        <w:trPr>
          <w:cantSplit/>
        </w:trPr>
        <w:tc>
          <w:tcPr>
            <w:tcW w:type="dxa" w:w="1180"/>
            <w:vAlign w:val="top"/>
          </w:tcPr>
          <w:p>
            <w:pPr>
              <w:pStyle w:val="Compact"/>
              <w:spacing w:after="60" w:line="240" w:lineRule="auto"/>
              <w:jc w:val="left"/>
            </w:pPr>
            <w:r>
              <w:rPr>
                <w:rFonts w:ascii="Carlito" w:hAnsi="Carlito"/>
                <w:sz w:val="17"/>
              </w:rPr>
              <w:t xml:space="preserve">0.2</w:t>
            </w:r>
          </w:p>
        </w:tc>
        <w:tc>
          <w:tcPr>
            <w:tcW w:type="dxa" w:w="1671"/>
            <w:vAlign w:val="top"/>
          </w:tcPr>
          <w:p>
            <w:pPr>
              <w:pStyle w:val="Compact"/>
              <w:spacing w:after="60" w:line="240" w:lineRule="auto"/>
              <w:jc w:val="left"/>
            </w:pPr>
            <w:r>
              <w:rPr>
                <w:rFonts w:ascii="Carlito" w:hAnsi="Carlito"/>
                <w:sz w:val="17"/>
              </w:rPr>
              <w:t xml:space="preserve">1.00</w:t>
            </w:r>
          </w:p>
        </w:tc>
        <w:tc>
          <w:tcPr>
            <w:tcW w:type="dxa" w:w="2360"/>
            <w:vAlign w:val="top"/>
          </w:tcPr>
          <w:p>
            <w:pPr>
              <w:pStyle w:val="Compact"/>
              <w:spacing w:after="60" w:line="240" w:lineRule="auto"/>
              <w:jc w:val="left"/>
            </w:pPr>
            <w:r>
              <w:rPr>
                <w:rFonts w:ascii="Carlito" w:hAnsi="Carlito"/>
                <w:sz w:val="17"/>
              </w:rPr>
              <w:t xml:space="preserve">1.00</w:t>
            </w:r>
          </w:p>
        </w:tc>
        <w:tc>
          <w:tcPr>
            <w:tcW w:type="dxa" w:w="2458"/>
            <w:vAlign w:val="top"/>
          </w:tcPr>
          <w:p>
            <w:pPr>
              <w:pStyle w:val="Compact"/>
              <w:spacing w:after="60" w:line="240" w:lineRule="auto"/>
              <w:jc w:val="left"/>
            </w:pPr>
            <w:r>
              <w:rPr>
                <w:rFonts w:ascii="Carlito" w:hAnsi="Carlito"/>
                <w:sz w:val="17"/>
              </w:rPr>
              <w:t xml:space="preserve">0.97</w:t>
            </w:r>
          </w:p>
        </w:tc>
        <w:tc>
          <w:tcPr>
            <w:tcW w:type="dxa" w:w="2163"/>
            <w:vAlign w:val="top"/>
          </w:tcPr>
          <w:p>
            <w:pPr>
              <w:pStyle w:val="Compact"/>
              <w:spacing w:after="60" w:line="240" w:lineRule="auto"/>
              <w:jc w:val="left"/>
            </w:pPr>
            <w:r>
              <w:rPr>
                <w:rFonts w:ascii="Carlito" w:hAnsi="Carlito"/>
                <w:sz w:val="17"/>
              </w:rPr>
              <w:t xml:space="preserve">0.00</w:t>
            </w:r>
          </w:p>
        </w:tc>
      </w:tr>
      <w:tr>
        <w:trPr>
          <w:cantSplit/>
        </w:trPr>
        <w:tc>
          <w:tcPr>
            <w:tcW w:type="dxa" w:w="1180"/>
            <w:vAlign w:val="top"/>
          </w:tcPr>
          <w:p>
            <w:pPr>
              <w:pStyle w:val="Compact"/>
              <w:spacing w:after="60" w:line="240" w:lineRule="auto"/>
              <w:jc w:val="left"/>
            </w:pPr>
            <w:r>
              <w:rPr>
                <w:rFonts w:ascii="Carlito" w:hAnsi="Carlito"/>
                <w:sz w:val="17"/>
              </w:rPr>
              <w:t xml:space="preserve">0.4</w:t>
            </w:r>
          </w:p>
        </w:tc>
        <w:tc>
          <w:tcPr>
            <w:tcW w:type="dxa" w:w="1671"/>
            <w:vAlign w:val="top"/>
          </w:tcPr>
          <w:p>
            <w:pPr>
              <w:pStyle w:val="Compact"/>
              <w:spacing w:after="60" w:line="240" w:lineRule="auto"/>
              <w:jc w:val="left"/>
            </w:pPr>
            <w:r>
              <w:rPr>
                <w:rFonts w:ascii="Carlito" w:hAnsi="Carlito"/>
                <w:sz w:val="17"/>
              </w:rPr>
              <w:t xml:space="preserve">1.00</w:t>
            </w:r>
          </w:p>
        </w:tc>
        <w:tc>
          <w:tcPr>
            <w:tcW w:type="dxa" w:w="2360"/>
            <w:vAlign w:val="top"/>
          </w:tcPr>
          <w:p>
            <w:pPr>
              <w:pStyle w:val="Compact"/>
              <w:spacing w:after="60" w:line="240" w:lineRule="auto"/>
              <w:jc w:val="left"/>
            </w:pPr>
            <w:r>
              <w:rPr>
                <w:rFonts w:ascii="Carlito" w:hAnsi="Carlito"/>
                <w:sz w:val="17"/>
              </w:rPr>
              <w:t xml:space="preserve">1.00</w:t>
            </w:r>
          </w:p>
        </w:tc>
        <w:tc>
          <w:tcPr>
            <w:tcW w:type="dxa" w:w="2458"/>
            <w:vAlign w:val="top"/>
          </w:tcPr>
          <w:p>
            <w:pPr>
              <w:pStyle w:val="Compact"/>
              <w:spacing w:after="60" w:line="240" w:lineRule="auto"/>
              <w:jc w:val="left"/>
            </w:pPr>
            <w:r>
              <w:rPr>
                <w:rFonts w:ascii="Carlito" w:hAnsi="Carlito"/>
                <w:sz w:val="17"/>
              </w:rPr>
              <w:t xml:space="preserve">0.44</w:t>
            </w:r>
          </w:p>
        </w:tc>
        <w:tc>
          <w:tcPr>
            <w:tcW w:type="dxa" w:w="2163"/>
            <w:vAlign w:val="top"/>
          </w:tcPr>
          <w:p>
            <w:pPr>
              <w:pStyle w:val="Compact"/>
              <w:spacing w:after="60" w:line="240" w:lineRule="auto"/>
              <w:jc w:val="left"/>
            </w:pPr>
            <w:r>
              <w:rPr>
                <w:rFonts w:ascii="Carlito" w:hAnsi="Carlito"/>
                <w:sz w:val="17"/>
              </w:rPr>
              <w:t xml:space="preserve">0.00</w:t>
            </w:r>
          </w:p>
        </w:tc>
      </w:tr>
      <w:tr>
        <w:trPr>
          <w:cantSplit/>
        </w:trPr>
        <w:tc>
          <w:tcPr>
            <w:tcW w:type="dxa" w:w="1180"/>
            <w:vAlign w:val="top"/>
          </w:tcPr>
          <w:p>
            <w:pPr>
              <w:pStyle w:val="Compact"/>
              <w:spacing w:after="60" w:line="240" w:lineRule="auto"/>
              <w:jc w:val="left"/>
            </w:pPr>
            <w:r>
              <w:rPr>
                <w:rFonts w:ascii="Carlito" w:hAnsi="Carlito"/>
                <w:sz w:val="17"/>
              </w:rPr>
              <w:t xml:space="preserve">0.8</w:t>
            </w:r>
          </w:p>
        </w:tc>
        <w:tc>
          <w:tcPr>
            <w:tcW w:type="dxa" w:w="1671"/>
            <w:vAlign w:val="top"/>
          </w:tcPr>
          <w:p>
            <w:pPr>
              <w:pStyle w:val="Compact"/>
              <w:spacing w:after="60" w:line="240" w:lineRule="auto"/>
              <w:jc w:val="left"/>
            </w:pPr>
            <w:r>
              <w:rPr>
                <w:rFonts w:ascii="Carlito" w:hAnsi="Carlito"/>
                <w:sz w:val="17"/>
              </w:rPr>
              <w:t xml:space="preserve">0.86</w:t>
            </w:r>
          </w:p>
        </w:tc>
        <w:tc>
          <w:tcPr>
            <w:tcW w:type="dxa" w:w="2360"/>
            <w:vAlign w:val="top"/>
          </w:tcPr>
          <w:p>
            <w:pPr>
              <w:pStyle w:val="Compact"/>
              <w:spacing w:after="60" w:line="240" w:lineRule="auto"/>
              <w:jc w:val="left"/>
            </w:pPr>
            <w:r>
              <w:rPr>
                <w:rFonts w:ascii="Carlito" w:hAnsi="Carlito"/>
                <w:sz w:val="17"/>
              </w:rPr>
              <w:t xml:space="preserve">0.82</w:t>
            </w:r>
          </w:p>
        </w:tc>
        <w:tc>
          <w:tcPr>
            <w:tcW w:type="dxa" w:w="2458"/>
            <w:vAlign w:val="top"/>
          </w:tcPr>
          <w:p>
            <w:pPr>
              <w:pStyle w:val="Compact"/>
              <w:spacing w:after="60" w:line="240" w:lineRule="auto"/>
              <w:jc w:val="left"/>
            </w:pPr>
            <w:r>
              <w:rPr>
                <w:rFonts w:ascii="Carlito" w:hAnsi="Carlito"/>
                <w:sz w:val="17"/>
              </w:rPr>
              <w:t xml:space="preserve">0.06</w:t>
            </w:r>
          </w:p>
        </w:tc>
        <w:tc>
          <w:tcPr>
            <w:tcW w:type="dxa" w:w="2163"/>
            <w:vAlign w:val="top"/>
          </w:tcPr>
          <w:p>
            <w:pPr>
              <w:pStyle w:val="Compact"/>
              <w:spacing w:after="60" w:line="240" w:lineRule="auto"/>
              <w:jc w:val="left"/>
            </w:pPr>
            <w:r>
              <w:rPr>
                <w:rFonts w:ascii="Carlito" w:hAnsi="Carlito"/>
                <w:sz w:val="17"/>
              </w:rPr>
              <w:t xml:space="preserve">0.00</w:t>
            </w:r>
          </w:p>
        </w:tc>
      </w:tr>
      <w:tr>
        <w:trPr>
          <w:cantSplit/>
        </w:trPr>
        <w:tc>
          <w:tcPr>
            <w:tcW w:type="dxa" w:w="1180"/>
            <w:vAlign w:val="top"/>
          </w:tcPr>
          <w:p>
            <w:pPr>
              <w:pStyle w:val="Compact"/>
              <w:spacing w:after="60" w:line="240" w:lineRule="auto"/>
              <w:jc w:val="left"/>
            </w:pPr>
            <w:r>
              <w:rPr>
                <w:rFonts w:ascii="Carlito" w:hAnsi="Carlito"/>
                <w:sz w:val="17"/>
              </w:rPr>
              <w:t xml:space="preserve">1.6</w:t>
            </w:r>
          </w:p>
        </w:tc>
        <w:tc>
          <w:tcPr>
            <w:tcW w:type="dxa" w:w="1671"/>
            <w:vAlign w:val="top"/>
          </w:tcPr>
          <w:p>
            <w:pPr>
              <w:pStyle w:val="Compact"/>
              <w:spacing w:after="60" w:line="240" w:lineRule="auto"/>
              <w:jc w:val="left"/>
            </w:pPr>
            <w:r>
              <w:rPr>
                <w:rFonts w:ascii="Carlito" w:hAnsi="Carlito"/>
                <w:sz w:val="17"/>
              </w:rPr>
              <w:t xml:space="preserve">0.13</w:t>
            </w:r>
          </w:p>
        </w:tc>
        <w:tc>
          <w:tcPr>
            <w:tcW w:type="dxa" w:w="2360"/>
            <w:vAlign w:val="top"/>
          </w:tcPr>
          <w:p>
            <w:pPr>
              <w:pStyle w:val="Compact"/>
              <w:spacing w:after="60" w:line="240" w:lineRule="auto"/>
              <w:jc w:val="left"/>
            </w:pPr>
            <w:r>
              <w:rPr>
                <w:rFonts w:ascii="Carlito" w:hAnsi="Carlito"/>
                <w:sz w:val="17"/>
              </w:rPr>
              <w:t xml:space="preserve">0.10</w:t>
            </w:r>
          </w:p>
        </w:tc>
        <w:tc>
          <w:tcPr>
            <w:tcW w:type="dxa" w:w="2458"/>
            <w:vAlign w:val="top"/>
          </w:tcPr>
          <w:p>
            <w:pPr>
              <w:pStyle w:val="Compact"/>
              <w:spacing w:after="60" w:line="240" w:lineRule="auto"/>
              <w:jc w:val="left"/>
            </w:pPr>
            <w:r>
              <w:rPr>
                <w:rFonts w:ascii="Carlito" w:hAnsi="Carlito"/>
                <w:sz w:val="17"/>
              </w:rPr>
              <w:t xml:space="preserve">0.00</w:t>
            </w:r>
          </w:p>
        </w:tc>
        <w:tc>
          <w:tcPr>
            <w:tcW w:type="dxa" w:w="2163"/>
            <w:vAlign w:val="top"/>
          </w:tcPr>
          <w:p>
            <w:pPr>
              <w:pStyle w:val="Compact"/>
              <w:spacing w:after="60" w:line="240" w:lineRule="auto"/>
              <w:jc w:val="left"/>
            </w:pPr>
            <w:r>
              <w:rPr>
                <w:rFonts w:ascii="Carlito" w:hAnsi="Carlito"/>
                <w:sz w:val="17"/>
              </w:rPr>
              <w:t xml:space="preserve">0.03</w:t>
            </w:r>
          </w:p>
        </w:tc>
      </w:tr>
    </w:tbl>
    <w:p>
      <w:pPr>
        <w:pStyle w:val="BodyText"/>
      </w:pPr>
      <w:r>
        <w:t xml:space="preserve">At</w:t>
      </w:r>
      <w:r>
        <w:t xml:space="preserve"> </w:t>
      </w:r>
      <m:oMath>
        <m:r>
          <m:t>θ</m:t>
        </m:r>
        <m:r>
          <m:rPr>
            <m:sty m:val="p"/>
          </m:rPr>
          <m:t>=</m:t>
        </m:r>
        <m:r>
          <m:t>0</m:t>
        </m:r>
      </m:oMath>
      <w:r>
        <w:t xml:space="preserve"> </w:t>
      </w:r>
      <w:r>
        <w:t xml:space="preserve">the</w:t>
      </w:r>
      <w:r>
        <w:t xml:space="preserve"> </w:t>
      </w:r>
      <w:r>
        <w:t xml:space="preserve">“</w:t>
      </w:r>
      <w:r>
        <w:t xml:space="preserve">preparation frame</w:t>
      </w:r>
      <w:r>
        <w:t xml:space="preserve">”</w:t>
      </w:r>
      <w:r>
        <w:t xml:space="preserve"> </w:t>
      </w:r>
      <w:r>
        <w:t xml:space="preserve">candidate equals the identity, a duplicated class of exactly the kind Lemma 3 requires to be merged. As the ready resource is rotated away, records do not follow it. They stay in the frame of the coupling and then disappear, in this specific exploratory family. Finite-angle exponentials of normalised random Hermitians are not Haar draws, and no Haar limit for this parameterisation has been established.</w:t>
      </w:r>
    </w:p>
    <w:p>
      <w:pPr>
        <w:pStyle w:val="BodyText"/>
        <w:keepNext/>
      </w:pPr>
      <w:r>
        <w:rPr>
          <w:b/>
          <w:bCs/>
        </w:rPr>
        <w:t xml:space="preserve">Table S6. Coupling and ready resource moved together</w:t>
      </w:r>
      <w:r>
        <w:t xml:space="preserve"> </w:t>
      </w:r>
      <w:r>
        <w:t xml:space="preserve">(</w:t>
      </w:r>
      <m:oMath>
        <m:sSub>
          <m:e>
            <m:r>
              <m:t>K</m:t>
            </m:r>
          </m:e>
          <m:sub>
            <m:r>
              <m:rPr>
                <m:sty m:val="p"/>
              </m:rPr>
              <m:t>C</m:t>
            </m:r>
          </m:sub>
        </m:sSub>
        <m:r>
          <m:rPr>
            <m:sty m:val="p"/>
          </m:rPr>
          <m:t>↦</m:t>
        </m:r>
        <m:sSub>
          <m:e>
            <m:r>
              <m:t>U</m:t>
            </m:r>
          </m:e>
          <m:sub>
            <m:r>
              <m:t>c</m:t>
            </m:r>
          </m:sub>
        </m:sSub>
        <m:sSub>
          <m:e>
            <m:r>
              <m:t>K</m:t>
            </m:r>
          </m:e>
          <m:sub>
            <m:r>
              <m:rPr>
                <m:sty m:val="p"/>
              </m:rPr>
              <m:t>C</m:t>
            </m:r>
          </m:sub>
        </m:sSub>
        <m:sSubSup>
          <m:e>
            <m:r>
              <m:t>U</m:t>
            </m:r>
          </m:e>
          <m:sub>
            <m:r>
              <m:t>c</m:t>
            </m:r>
          </m:sub>
          <m:sup>
            <m:r>
              <m:rPr>
                <m:sty m:val="p"/>
              </m:rPr>
              <m:t>†</m:t>
            </m:r>
          </m:sup>
        </m:sSubSup>
      </m:oMath>
      <w:r>
        <w:t xml:space="preserve">, initial state</w:t>
      </w:r>
      <w:r>
        <w:t xml:space="preserve"> </w:t>
      </w:r>
      <m:oMath>
        <m:sSub>
          <m:e>
            <m:r>
              <m:t>U</m:t>
            </m:r>
          </m:e>
          <m:sub>
            <m:r>
              <m:t>c</m:t>
            </m:r>
          </m:sub>
        </m:sSub>
        <m:r>
          <m:rPr>
            <m:sty m:val="p"/>
          </m:rPr>
          <m:t>∣</m:t>
        </m:r>
        <m:r>
          <m:t>000</m:t>
        </m:r>
        <m:r>
          <m:rPr>
            <m:sty m:val="p"/>
          </m:rPr>
          <m:t>⟩</m:t>
        </m:r>
      </m:oMath>
      <w:r>
        <w:t xml:space="preserve">,</w:t>
      </w:r>
      <w:r>
        <w:t xml:space="preserve"> </w:t>
      </w:r>
      <m:oMath>
        <m:sSub>
          <m:e>
            <m:r>
              <m:t>U</m:t>
            </m:r>
          </m:e>
          <m:sub>
            <m:r>
              <m:t>c</m:t>
            </m:r>
          </m:sub>
        </m:sSub>
        <m:r>
          <m:rPr>
            <m:sty m:val="p"/>
          </m:rPr>
          <m:t>=</m:t>
        </m:r>
        <m:sSup>
          <m:e>
            <m:r>
              <m:t>e</m:t>
            </m:r>
          </m:e>
          <m:sup>
            <m:r>
              <m:rPr>
                <m:sty m:val="p"/>
              </m:rPr>
              <m:t>−</m:t>
            </m:r>
            <m:r>
              <m:t>i</m:t>
            </m:r>
            <m:r>
              <m:t>φ</m:t>
            </m:r>
            <m:r>
              <m:t>G</m:t>
            </m:r>
          </m:sup>
        </m:sSup>
      </m:oMath>
      <w:r>
        <w:t xml:space="preserve">; 60 models per row). The internal-locality minimum was at the identity in every model.</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885"/>
        <w:gridCol w:w="1376"/>
        <w:gridCol w:w="2163"/>
        <w:gridCol w:w="2163"/>
        <w:gridCol w:w="1770"/>
        <w:gridCol w:w="1475"/>
      </w:tblGrid>
      <w:tr>
        <w:trPr>
          <w:tblHeader w:val="on"/>
          <w:tblHeader/>
          <w:cantSplit/>
        </w:trPr>
        <w:tc>
          <w:tcPr>
            <w:shd w:fill="EAF0F4"/>
            <w:tcW w:type="dxa" w:w="885"/>
            <w:vAlign w:val="top"/>
          </w:tcPr>
          <w:p>
            <w:pPr>
              <w:pStyle w:val="Compact"/>
              <w:spacing w:after="60" w:line="240" w:lineRule="auto"/>
              <w:jc w:val="left"/>
            </w:pPr>
            <m:oMath>
              <m:r>
                <m:t>λ</m:t>
              </m:r>
            </m:oMath>
          </w:p>
        </w:tc>
        <w:tc>
          <w:tcPr>
            <w:shd w:fill="EAF0F4"/>
            <w:tcW w:type="dxa" w:w="1376"/>
            <w:vAlign w:val="top"/>
          </w:tcPr>
          <w:p>
            <w:pPr>
              <w:pStyle w:val="Compact"/>
              <w:spacing w:after="60" w:line="240" w:lineRule="auto"/>
              <w:jc w:val="left"/>
            </w:pPr>
            <m:oMath>
              <m:r>
                <m:t>φ</m:t>
              </m:r>
            </m:oMath>
          </w:p>
        </w:tc>
        <w:tc>
          <w:tcPr>
            <w:shd w:fill="EAF0F4"/>
            <w:tcW w:type="dxa" w:w="2163"/>
            <w:vAlign w:val="top"/>
          </w:tcPr>
          <w:p>
            <w:pPr>
              <w:pStyle w:val="Compact"/>
              <w:spacing w:after="60" w:line="240" w:lineRule="auto"/>
              <w:jc w:val="left"/>
            </w:pPr>
            <w:r>
              <w:rPr>
                <w:rFonts w:ascii="Carlito" w:hAnsi="Carlito"/>
                <w:b/>
                <w:sz w:val="17"/>
              </w:rPr>
              <w:t xml:space="preserve">Records anywhere</w:t>
            </w:r>
          </w:p>
        </w:tc>
        <w:tc>
          <w:tcPr>
            <w:shd w:fill="EAF0F4"/>
            <w:tcW w:type="dxa" w:w="2163"/>
            <w:vAlign w:val="top"/>
          </w:tcPr>
          <w:p>
            <w:pPr>
              <w:pStyle w:val="Compact"/>
              <w:spacing w:after="60" w:line="240" w:lineRule="auto"/>
              <w:jc w:val="left"/>
            </w:pPr>
            <w:r>
              <w:rPr>
                <w:rFonts w:ascii="Carlito" w:hAnsi="Carlito"/>
                <w:b/>
                <w:sz w:val="17"/>
              </w:rPr>
              <w:t xml:space="preserve">In internal-locality frame</w:t>
            </w:r>
          </w:p>
        </w:tc>
        <w:tc>
          <w:tcPr>
            <w:shd w:fill="EAF0F4"/>
            <w:tcW w:type="dxa" w:w="1770"/>
            <w:vAlign w:val="top"/>
          </w:tcPr>
          <w:p>
            <w:pPr>
              <w:pStyle w:val="Compact"/>
              <w:spacing w:after="60" w:line="240" w:lineRule="auto"/>
              <w:jc w:val="left"/>
            </w:pPr>
            <w:r>
              <w:rPr>
                <w:rFonts w:ascii="Carlito" w:hAnsi="Carlito"/>
                <w:b/>
                <w:sz w:val="17"/>
              </w:rPr>
              <w:t xml:space="preserve">In coupling frame</w:t>
            </w:r>
          </w:p>
        </w:tc>
        <w:tc>
          <w:tcPr>
            <w:shd w:fill="EAF0F4"/>
            <w:tcW w:type="dxa" w:w="1475"/>
            <w:vAlign w:val="top"/>
          </w:tcPr>
          <w:p>
            <w:pPr>
              <w:pStyle w:val="Compact"/>
              <w:spacing w:after="60" w:line="240" w:lineRule="auto"/>
              <w:jc w:val="left"/>
            </w:pPr>
            <w:r>
              <w:rPr>
                <w:rFonts w:ascii="Carlito" w:hAnsi="Carlito"/>
                <w:b/>
                <w:sz w:val="17"/>
              </w:rPr>
              <w:t xml:space="preserve">Elsewhere</w:t>
            </w:r>
          </w:p>
        </w:tc>
      </w:tr>
      <w:tr>
        <w:trPr>
          <w:cantSplit/>
        </w:trPr>
        <w:tc>
          <w:tcPr>
            <w:tcW w:type="dxa" w:w="885"/>
            <w:vAlign w:val="top"/>
          </w:tcPr>
          <w:p>
            <w:pPr>
              <w:pStyle w:val="Compact"/>
              <w:spacing w:after="60" w:line="240" w:lineRule="auto"/>
              <w:jc w:val="left"/>
            </w:pPr>
            <w:r>
              <w:rPr>
                <w:rFonts w:ascii="Carlito" w:hAnsi="Carlito"/>
                <w:sz w:val="17"/>
              </w:rPr>
              <w:t xml:space="preserve">0.3</w:t>
            </w:r>
          </w:p>
        </w:tc>
        <w:tc>
          <w:tcPr>
            <w:tcW w:type="dxa" w:w="1376"/>
            <w:vAlign w:val="top"/>
          </w:tcPr>
          <w:p>
            <w:pPr>
              <w:pStyle w:val="Compact"/>
              <w:spacing w:after="60" w:line="240" w:lineRule="auto"/>
              <w:jc w:val="left"/>
            </w:pPr>
            <w:r>
              <w:rPr>
                <w:rFonts w:ascii="Carlito" w:hAnsi="Carlito"/>
                <w:sz w:val="17"/>
              </w:rPr>
              <w:t xml:space="preserve">0.4</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0.583</w:t>
            </w:r>
          </w:p>
        </w:tc>
        <w:tc>
          <w:tcPr>
            <w:tcW w:type="dxa" w:w="1770"/>
            <w:vAlign w:val="top"/>
          </w:tcPr>
          <w:p>
            <w:pPr>
              <w:pStyle w:val="Compact"/>
              <w:spacing w:after="60" w:line="240" w:lineRule="auto"/>
              <w:jc w:val="left"/>
            </w:pPr>
            <w:r>
              <w:rPr>
                <w:rFonts w:ascii="Carlito" w:hAnsi="Carlito"/>
                <w:sz w:val="17"/>
              </w:rPr>
              <w:t xml:space="preserve">1.000</w:t>
            </w:r>
          </w:p>
        </w:tc>
        <w:tc>
          <w:tcPr>
            <w:tcW w:type="dxa" w:w="1475"/>
            <w:vAlign w:val="top"/>
          </w:tcPr>
          <w:p>
            <w:pPr>
              <w:pStyle w:val="Compact"/>
              <w:spacing w:after="60" w:line="240" w:lineRule="auto"/>
              <w:jc w:val="left"/>
            </w:pPr>
            <w:r>
              <w:rPr>
                <w:rFonts w:ascii="Carlito" w:hAnsi="Carlito"/>
                <w:sz w:val="17"/>
              </w:rPr>
              <w:t xml:space="preserve">0.000</w:t>
            </w:r>
          </w:p>
        </w:tc>
      </w:tr>
      <w:tr>
        <w:trPr>
          <w:cantSplit/>
        </w:trPr>
        <w:tc>
          <w:tcPr>
            <w:tcW w:type="dxa" w:w="885"/>
            <w:vAlign w:val="top"/>
          </w:tcPr>
          <w:p>
            <w:pPr>
              <w:pStyle w:val="Compact"/>
              <w:spacing w:after="60" w:line="240" w:lineRule="auto"/>
              <w:jc w:val="left"/>
            </w:pPr>
            <w:r>
              <w:rPr>
                <w:rFonts w:ascii="Carlito" w:hAnsi="Carlito"/>
                <w:sz w:val="17"/>
              </w:rPr>
              <w:t xml:space="preserve">0.3</w:t>
            </w:r>
          </w:p>
        </w:tc>
        <w:tc>
          <w:tcPr>
            <w:tcW w:type="dxa" w:w="1376"/>
            <w:vAlign w:val="top"/>
          </w:tcPr>
          <w:p>
            <w:pPr>
              <w:pStyle w:val="Compact"/>
              <w:spacing w:after="60" w:line="240" w:lineRule="auto"/>
              <w:jc w:val="left"/>
            </w:pPr>
            <w:r>
              <w:rPr>
                <w:rFonts w:ascii="Carlito" w:hAnsi="Carlito"/>
                <w:sz w:val="17"/>
              </w:rPr>
              <w:t xml:space="preserve">0.8</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0.017</w:t>
            </w:r>
          </w:p>
        </w:tc>
        <w:tc>
          <w:tcPr>
            <w:tcW w:type="dxa" w:w="1770"/>
            <w:vAlign w:val="top"/>
          </w:tcPr>
          <w:p>
            <w:pPr>
              <w:pStyle w:val="Compact"/>
              <w:spacing w:after="60" w:line="240" w:lineRule="auto"/>
              <w:jc w:val="left"/>
            </w:pPr>
            <w:r>
              <w:rPr>
                <w:rFonts w:ascii="Carlito" w:hAnsi="Carlito"/>
                <w:sz w:val="17"/>
              </w:rPr>
              <w:t xml:space="preserve">1.000</w:t>
            </w:r>
          </w:p>
        </w:tc>
        <w:tc>
          <w:tcPr>
            <w:tcW w:type="dxa" w:w="1475"/>
            <w:vAlign w:val="top"/>
          </w:tcPr>
          <w:p>
            <w:pPr>
              <w:pStyle w:val="Compact"/>
              <w:spacing w:after="60" w:line="240" w:lineRule="auto"/>
              <w:jc w:val="left"/>
            </w:pPr>
            <w:r>
              <w:rPr>
                <w:rFonts w:ascii="Carlito" w:hAnsi="Carlito"/>
                <w:sz w:val="17"/>
              </w:rPr>
              <w:t xml:space="preserve">0.000</w:t>
            </w:r>
          </w:p>
        </w:tc>
      </w:tr>
      <w:tr>
        <w:trPr>
          <w:cantSplit/>
        </w:trPr>
        <w:tc>
          <w:tcPr>
            <w:tcW w:type="dxa" w:w="885"/>
            <w:vAlign w:val="top"/>
          </w:tcPr>
          <w:p>
            <w:pPr>
              <w:pStyle w:val="Compact"/>
              <w:spacing w:after="60" w:line="240" w:lineRule="auto"/>
              <w:jc w:val="left"/>
            </w:pPr>
            <w:r>
              <w:rPr>
                <w:rFonts w:ascii="Carlito" w:hAnsi="Carlito"/>
                <w:sz w:val="17"/>
              </w:rPr>
              <w:t xml:space="preserve">1.0</w:t>
            </w:r>
          </w:p>
        </w:tc>
        <w:tc>
          <w:tcPr>
            <w:tcW w:type="dxa" w:w="1376"/>
            <w:vAlign w:val="top"/>
          </w:tcPr>
          <w:p>
            <w:pPr>
              <w:pStyle w:val="Compact"/>
              <w:spacing w:after="60" w:line="240" w:lineRule="auto"/>
              <w:jc w:val="left"/>
            </w:pPr>
            <w:r>
              <w:rPr>
                <w:rFonts w:ascii="Carlito" w:hAnsi="Carlito"/>
                <w:sz w:val="17"/>
              </w:rPr>
              <w:t xml:space="preserve">0.4</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0.333</w:t>
            </w:r>
          </w:p>
        </w:tc>
        <w:tc>
          <w:tcPr>
            <w:tcW w:type="dxa" w:w="1770"/>
            <w:vAlign w:val="top"/>
          </w:tcPr>
          <w:p>
            <w:pPr>
              <w:pStyle w:val="Compact"/>
              <w:spacing w:after="60" w:line="240" w:lineRule="auto"/>
              <w:jc w:val="left"/>
            </w:pPr>
            <w:r>
              <w:rPr>
                <w:rFonts w:ascii="Carlito" w:hAnsi="Carlito"/>
                <w:sz w:val="17"/>
              </w:rPr>
              <w:t xml:space="preserve">0.917</w:t>
            </w:r>
          </w:p>
        </w:tc>
        <w:tc>
          <w:tcPr>
            <w:tcW w:type="dxa" w:w="1475"/>
            <w:vAlign w:val="top"/>
          </w:tcPr>
          <w:p>
            <w:pPr>
              <w:pStyle w:val="Compact"/>
              <w:spacing w:after="60" w:line="240" w:lineRule="auto"/>
              <w:jc w:val="left"/>
            </w:pPr>
            <w:r>
              <w:rPr>
                <w:rFonts w:ascii="Carlito" w:hAnsi="Carlito"/>
                <w:sz w:val="17"/>
              </w:rPr>
              <w:t xml:space="preserve">0.000</w:t>
            </w:r>
          </w:p>
        </w:tc>
      </w:tr>
      <w:tr>
        <w:trPr>
          <w:cantSplit/>
        </w:trPr>
        <w:tc>
          <w:tcPr>
            <w:tcW w:type="dxa" w:w="885"/>
            <w:vAlign w:val="top"/>
          </w:tcPr>
          <w:p>
            <w:pPr>
              <w:pStyle w:val="Compact"/>
              <w:spacing w:after="60" w:line="240" w:lineRule="auto"/>
              <w:jc w:val="left"/>
            </w:pPr>
            <w:r>
              <w:rPr>
                <w:rFonts w:ascii="Carlito" w:hAnsi="Carlito"/>
                <w:sz w:val="17"/>
              </w:rPr>
              <w:t xml:space="preserve">1.0</w:t>
            </w:r>
          </w:p>
        </w:tc>
        <w:tc>
          <w:tcPr>
            <w:tcW w:type="dxa" w:w="1376"/>
            <w:vAlign w:val="top"/>
          </w:tcPr>
          <w:p>
            <w:pPr>
              <w:pStyle w:val="Compact"/>
              <w:spacing w:after="60" w:line="240" w:lineRule="auto"/>
              <w:jc w:val="left"/>
            </w:pPr>
            <w:r>
              <w:rPr>
                <w:rFonts w:ascii="Carlito" w:hAnsi="Carlito"/>
                <w:sz w:val="17"/>
              </w:rPr>
              <w:t xml:space="preserve">0.8</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0.033</w:t>
            </w:r>
          </w:p>
        </w:tc>
        <w:tc>
          <w:tcPr>
            <w:tcW w:type="dxa" w:w="1770"/>
            <w:vAlign w:val="top"/>
          </w:tcPr>
          <w:p>
            <w:pPr>
              <w:pStyle w:val="Compact"/>
              <w:spacing w:after="60" w:line="240" w:lineRule="auto"/>
              <w:jc w:val="left"/>
            </w:pPr>
            <w:r>
              <w:rPr>
                <w:rFonts w:ascii="Carlito" w:hAnsi="Carlito"/>
                <w:sz w:val="17"/>
              </w:rPr>
              <w:t xml:space="preserve">1.000</w:t>
            </w:r>
          </w:p>
        </w:tc>
        <w:tc>
          <w:tcPr>
            <w:tcW w:type="dxa" w:w="1475"/>
            <w:vAlign w:val="top"/>
          </w:tcPr>
          <w:p>
            <w:pPr>
              <w:pStyle w:val="Compact"/>
              <w:spacing w:after="60" w:line="240" w:lineRule="auto"/>
              <w:jc w:val="left"/>
            </w:pPr>
            <w:r>
              <w:rPr>
                <w:rFonts w:ascii="Carlito" w:hAnsi="Carlito"/>
                <w:sz w:val="17"/>
              </w:rPr>
              <w:t xml:space="preserve">0.000</w:t>
            </w:r>
          </w:p>
        </w:tc>
      </w:tr>
      <w:tr>
        <w:trPr>
          <w:cantSplit/>
        </w:trPr>
        <w:tc>
          <w:tcPr>
            <w:tcW w:type="dxa" w:w="885"/>
            <w:vAlign w:val="top"/>
          </w:tcPr>
          <w:p>
            <w:pPr>
              <w:pStyle w:val="Compact"/>
              <w:spacing w:after="60" w:line="240" w:lineRule="auto"/>
              <w:jc w:val="left"/>
            </w:pPr>
            <w:r>
              <w:rPr>
                <w:rFonts w:ascii="Carlito" w:hAnsi="Carlito"/>
                <w:sz w:val="17"/>
              </w:rPr>
              <w:t xml:space="preserve">4.0</w:t>
            </w:r>
          </w:p>
        </w:tc>
        <w:tc>
          <w:tcPr>
            <w:tcW w:type="dxa" w:w="1376"/>
            <w:vAlign w:val="top"/>
          </w:tcPr>
          <w:p>
            <w:pPr>
              <w:pStyle w:val="Compact"/>
              <w:spacing w:after="60" w:line="240" w:lineRule="auto"/>
              <w:jc w:val="left"/>
            </w:pPr>
            <w:r>
              <w:rPr>
                <w:rFonts w:ascii="Carlito" w:hAnsi="Carlito"/>
                <w:sz w:val="17"/>
              </w:rPr>
              <w:t xml:space="preserve">0.4</w:t>
            </w:r>
          </w:p>
        </w:tc>
        <w:tc>
          <w:tcPr>
            <w:tcW w:type="dxa" w:w="2163"/>
            <w:vAlign w:val="top"/>
          </w:tcPr>
          <w:p>
            <w:pPr>
              <w:pStyle w:val="Compact"/>
              <w:spacing w:after="60" w:line="240" w:lineRule="auto"/>
              <w:jc w:val="left"/>
            </w:pPr>
            <w:r>
              <w:rPr>
                <w:rFonts w:ascii="Carlito" w:hAnsi="Carlito"/>
                <w:sz w:val="17"/>
              </w:rPr>
              <w:t xml:space="preserve">0.317</w:t>
            </w:r>
          </w:p>
        </w:tc>
        <w:tc>
          <w:tcPr>
            <w:tcW w:type="dxa" w:w="2163"/>
            <w:vAlign w:val="top"/>
          </w:tcPr>
          <w:p>
            <w:pPr>
              <w:pStyle w:val="Compact"/>
              <w:spacing w:after="60" w:line="240" w:lineRule="auto"/>
              <w:jc w:val="left"/>
            </w:pPr>
            <w:r>
              <w:rPr>
                <w:rFonts w:ascii="Carlito" w:hAnsi="Carlito"/>
                <w:sz w:val="17"/>
              </w:rPr>
              <w:t xml:space="preserve">0.133</w:t>
            </w:r>
          </w:p>
        </w:tc>
        <w:tc>
          <w:tcPr>
            <w:tcW w:type="dxa" w:w="1770"/>
            <w:vAlign w:val="top"/>
          </w:tcPr>
          <w:p>
            <w:pPr>
              <w:pStyle w:val="Compact"/>
              <w:spacing w:after="60" w:line="240" w:lineRule="auto"/>
              <w:jc w:val="left"/>
            </w:pPr>
            <w:r>
              <w:rPr>
                <w:rFonts w:ascii="Carlito" w:hAnsi="Carlito"/>
                <w:sz w:val="17"/>
              </w:rPr>
              <w:t xml:space="preserve">0.183</w:t>
            </w:r>
          </w:p>
        </w:tc>
        <w:tc>
          <w:tcPr>
            <w:tcW w:type="dxa" w:w="1475"/>
            <w:vAlign w:val="top"/>
          </w:tcPr>
          <w:p>
            <w:pPr>
              <w:pStyle w:val="Compact"/>
              <w:spacing w:after="60" w:line="240" w:lineRule="auto"/>
              <w:jc w:val="left"/>
            </w:pPr>
            <w:r>
              <w:rPr>
                <w:rFonts w:ascii="Carlito" w:hAnsi="Carlito"/>
                <w:sz w:val="17"/>
              </w:rPr>
              <w:t xml:space="preserve">0.067</w:t>
            </w:r>
          </w:p>
        </w:tc>
      </w:tr>
      <w:tr>
        <w:trPr>
          <w:cantSplit/>
        </w:trPr>
        <w:tc>
          <w:tcPr>
            <w:tcW w:type="dxa" w:w="885"/>
            <w:vAlign w:val="top"/>
          </w:tcPr>
          <w:p>
            <w:pPr>
              <w:pStyle w:val="Compact"/>
              <w:spacing w:after="60" w:line="240" w:lineRule="auto"/>
              <w:jc w:val="left"/>
            </w:pPr>
            <w:r>
              <w:rPr>
                <w:rFonts w:ascii="Carlito" w:hAnsi="Carlito"/>
                <w:sz w:val="17"/>
              </w:rPr>
              <w:t xml:space="preserve">4.0</w:t>
            </w:r>
          </w:p>
        </w:tc>
        <w:tc>
          <w:tcPr>
            <w:tcW w:type="dxa" w:w="1376"/>
            <w:vAlign w:val="top"/>
          </w:tcPr>
          <w:p>
            <w:pPr>
              <w:pStyle w:val="Compact"/>
              <w:spacing w:after="60" w:line="240" w:lineRule="auto"/>
              <w:jc w:val="left"/>
            </w:pPr>
            <w:r>
              <w:rPr>
                <w:rFonts w:ascii="Carlito" w:hAnsi="Carlito"/>
                <w:sz w:val="17"/>
              </w:rPr>
              <w:t xml:space="preserve">0.8</w:t>
            </w:r>
          </w:p>
        </w:tc>
        <w:tc>
          <w:tcPr>
            <w:tcW w:type="dxa" w:w="2163"/>
            <w:vAlign w:val="top"/>
          </w:tcPr>
          <w:p>
            <w:pPr>
              <w:pStyle w:val="Compact"/>
              <w:spacing w:after="60" w:line="240" w:lineRule="auto"/>
              <w:jc w:val="left"/>
            </w:pPr>
            <w:r>
              <w:rPr>
                <w:rFonts w:ascii="Carlito" w:hAnsi="Carlito"/>
                <w:sz w:val="17"/>
              </w:rPr>
              <w:t xml:space="preserve">0.200</w:t>
            </w:r>
          </w:p>
        </w:tc>
        <w:tc>
          <w:tcPr>
            <w:tcW w:type="dxa" w:w="2163"/>
            <w:vAlign w:val="top"/>
          </w:tcPr>
          <w:p>
            <w:pPr>
              <w:pStyle w:val="Compact"/>
              <w:spacing w:after="60" w:line="240" w:lineRule="auto"/>
              <w:jc w:val="left"/>
            </w:pPr>
            <w:r>
              <w:rPr>
                <w:rFonts w:ascii="Carlito" w:hAnsi="Carlito"/>
                <w:sz w:val="17"/>
              </w:rPr>
              <w:t xml:space="preserve">0.033</w:t>
            </w:r>
          </w:p>
        </w:tc>
        <w:tc>
          <w:tcPr>
            <w:tcW w:type="dxa" w:w="1770"/>
            <w:vAlign w:val="top"/>
          </w:tcPr>
          <w:p>
            <w:pPr>
              <w:pStyle w:val="Compact"/>
              <w:spacing w:after="60" w:line="240" w:lineRule="auto"/>
              <w:jc w:val="left"/>
            </w:pPr>
            <w:r>
              <w:rPr>
                <w:rFonts w:ascii="Carlito" w:hAnsi="Carlito"/>
                <w:sz w:val="17"/>
              </w:rPr>
              <w:t xml:space="preserve">0.100</w:t>
            </w:r>
          </w:p>
        </w:tc>
        <w:tc>
          <w:tcPr>
            <w:tcW w:type="dxa" w:w="1475"/>
            <w:vAlign w:val="top"/>
          </w:tcPr>
          <w:p>
            <w:pPr>
              <w:pStyle w:val="Compact"/>
              <w:spacing w:after="60" w:line="240" w:lineRule="auto"/>
              <w:jc w:val="left"/>
            </w:pPr>
            <w:r>
              <w:rPr>
                <w:rFonts w:ascii="Carlito" w:hAnsi="Carlito"/>
                <w:sz w:val="17"/>
              </w:rPr>
              <w:t xml:space="preserve">0.067</w:t>
            </w:r>
          </w:p>
        </w:tc>
      </w:tr>
    </w:tbl>
    <w:p>
      <w:pPr>
        <w:pStyle w:val="BodyText"/>
      </w:pPr>
      <w:r>
        <w:t xml:space="preserve">The total record-generating Hamiltonian</w:t>
      </w:r>
      <w:r>
        <w:t xml:space="preserve"> </w:t>
      </w:r>
      <m:oMath>
        <m:sSub>
          <m:e>
            <m:r>
              <m:t>H</m:t>
            </m:r>
          </m:e>
          <m:sub>
            <m:r>
              <m:t>x</m:t>
            </m:r>
          </m:sub>
        </m:sSub>
      </m:oMath>
      <w:r>
        <w:t xml:space="preserve"> </w:t>
      </w:r>
      <w:r>
        <w:t xml:space="preserve">was more local, by</w:t>
      </w:r>
      <w:r>
        <w:t xml:space="preserve"> </w:t>
      </w:r>
      <m:oMath>
        <m:r>
          <m:t>L</m:t>
        </m:r>
      </m:oMath>
      <w:r>
        <w:t xml:space="preserve"> </w:t>
      </w:r>
      <w:r>
        <w:t xml:space="preserve">averaged over</w:t>
      </w:r>
      <w:r>
        <w:t xml:space="preserve"> </w:t>
      </w:r>
      <m:oMath>
        <m:r>
          <m:t>x</m:t>
        </m:r>
      </m:oMath>
      <w:r>
        <w:t xml:space="preserve">, in the coupling frame than in the internal-locality frame in 100%, 100% and 95% of models at</w:t>
      </w:r>
      <w:r>
        <w:t xml:space="preserve"> </w:t>
      </w:r>
      <m:oMath>
        <m:r>
          <m:t>λ</m:t>
        </m:r>
        <m:r>
          <m:rPr>
            <m:sty m:val="p"/>
          </m:rPr>
          <m:t>=</m:t>
        </m:r>
        <m:r>
          <m:t>0.3</m:t>
        </m:r>
      </m:oMath>
      <w:r>
        <w:t xml:space="preserve">,</w:t>
      </w:r>
      <w:r>
        <w:t xml:space="preserve"> </w:t>
      </w:r>
      <m:oMath>
        <m:r>
          <m:t>1.0</m:t>
        </m:r>
      </m:oMath>
      <w:r>
        <w:t xml:space="preserve"> </w:t>
      </w:r>
      <w:r>
        <w:t xml:space="preserve">and</w:t>
      </w:r>
      <w:r>
        <w:t xml:space="preserve"> </w:t>
      </w:r>
      <m:oMath>
        <m:r>
          <m:t>4.0</m:t>
        </m:r>
      </m:oMath>
      <w:r>
        <w:t xml:space="preserve"> </w:t>
      </w:r>
      <w:r>
        <w:t xml:space="preserve">(</w:t>
      </w:r>
      <m:oMath>
        <m:r>
          <m:t>φ</m:t>
        </m:r>
        <m:r>
          <m:rPr>
            <m:sty m:val="p"/>
          </m:rPr>
          <m:t>=</m:t>
        </m:r>
        <m:r>
          <m:t>0.8</m:t>
        </m:r>
      </m:oMath>
      <w:r>
        <w:t xml:space="preserve">, 60 models each).</w:t>
      </w:r>
    </w:p>
    <w:bookmarkEnd w:id="26"/>
    <w:bookmarkStart w:id="27" w:name="X7b43c33cf2ada7c64b3f2d4a331d806d7fb4194"/>
    <w:p>
      <w:pPr>
        <w:pStyle w:val="Heading3"/>
      </w:pPr>
      <w:r>
        <w:t xml:space="preserve">S2.5 Fresh-seed repeats of the frozen exploratory configuration</w:t>
      </w:r>
    </w:p>
    <w:p>
      <w:pPr>
        <w:pStyle w:val="FirstParagraph"/>
      </w:pPr>
      <w:r>
        <w:t xml:space="preserve">With the configuration frozen, the main contrasts were re-run with seeds not used during development.</w:t>
      </w:r>
    </w:p>
    <w:p>
      <w:pPr>
        <w:pStyle w:val="Compact"/>
        <w:numPr>
          <w:ilvl w:val="0"/>
          <w:numId w:val="1002"/>
        </w:numPr>
      </w:pPr>
      <w:r>
        <w:rPr>
          <w:b/>
          <w:bCs/>
        </w:rPr>
        <w:t xml:space="preserve">Seeds 20260926 and 20260927,</w:t>
      </w:r>
      <w:r>
        <w:rPr>
          <w:b/>
          <w:bCs/>
        </w:rPr>
        <w:t xml:space="preserve"> </w:t>
      </w:r>
      <m:oMath>
        <m:r>
          <m:t>λ</m:t>
        </m:r>
        <m:r>
          <m:rPr>
            <m:sty m:val="p"/>
          </m:rPr>
          <m:t>=</m:t>
        </m:r>
        <m:r>
          <m:t>0.3</m:t>
        </m:r>
      </m:oMath>
      <w:r>
        <w:rPr>
          <w:b/>
          <w:bCs/>
        </w:rPr>
        <w:t xml:space="preserve">, 200 models per arm.</w:t>
      </w:r>
      <w:r>
        <w:t xml:space="preserve"> </w:t>
      </w:r>
      <w:r>
        <w:t xml:space="preserve">The shared arm again gave</w:t>
      </w:r>
      <w:r>
        <w:t xml:space="preserve"> </w:t>
      </w:r>
      <m:oMath>
        <m:acc>
          <m:accPr>
            <m:chr m:val="‾"/>
          </m:accPr>
          <m:e>
            <m:r>
              <m:t>A</m:t>
            </m:r>
          </m:e>
        </m:acc>
        <m:r>
          <m:rPr>
            <m:sty m:val="p"/>
          </m:rPr>
          <m:t>=</m:t>
        </m:r>
        <m:r>
          <m:t>1.000</m:t>
        </m:r>
      </m:oMath>
      <w:r>
        <w:t xml:space="preserve">,</w:t>
      </w:r>
      <w:r>
        <w:t xml:space="preserve"> </w:t>
      </w:r>
      <m:oMath>
        <m:acc>
          <m:accPr>
            <m:chr m:val="‾"/>
          </m:accPr>
          <m:e>
            <m:r>
              <m:t>q</m:t>
            </m:r>
          </m:e>
        </m:acc>
        <m:r>
          <m:rPr>
            <m:sty m:val="p"/>
          </m:rPr>
          <m:t>=</m:t>
        </m:r>
        <m:r>
          <m:t>0.050</m:t>
        </m:r>
      </m:oMath>
      <w:r>
        <w:t xml:space="preserve"> </w:t>
      </w:r>
      <w:r>
        <w:t xml:space="preserve">and</w:t>
      </w:r>
      <w:r>
        <w:t xml:space="preserve"> </w:t>
      </w:r>
      <m:oMath>
        <m:acc>
          <m:accPr>
            <m:chr m:val="̂"/>
          </m:accPr>
          <m:e>
            <m:r>
              <m:t>d</m:t>
            </m:r>
          </m:e>
        </m:acc>
        <m:r>
          <m:rPr>
            <m:sty m:val="p"/>
          </m:rPr>
          <m:t>=</m:t>
        </m:r>
        <m:r>
          <m:t>0.950</m:t>
        </m:r>
      </m:oMath>
      <w:r>
        <w:t xml:space="preserve">. The decoupled arm gave</w:t>
      </w:r>
      <w:r>
        <w:t xml:space="preserve"> </w:t>
      </w:r>
      <m:oMath>
        <m:acc>
          <m:accPr>
            <m:chr m:val="̂"/>
          </m:accPr>
          <m:e>
            <m:r>
              <m:t>d</m:t>
            </m:r>
          </m:e>
        </m:acc>
        <m:r>
          <m:rPr>
            <m:sty m:val="p"/>
          </m:rPr>
          <m:t>=</m:t>
        </m:r>
        <m:r>
          <m:t>0.072</m:t>
        </m:r>
      </m:oMath>
      <w:r>
        <w:t xml:space="preserve"> </w:t>
      </w:r>
      <m:oMath>
        <m:r>
          <m:rPr>
            <m:sty m:val="p"/>
          </m:rPr>
          <m:t>[</m:t>
        </m:r>
        <m:r>
          <m:rPr>
            <m:sty m:val="p"/>
          </m:rPr>
          <m:t>−</m:t>
        </m:r>
        <m:r>
          <m:t>0.120</m:t>
        </m:r>
        <m:r>
          <m:rPr>
            <m:sty m:val="p"/>
          </m:rPr>
          <m:t>,</m:t>
        </m:r>
        <m:r>
          <m:t>0.264</m:t>
        </m:r>
        <m:r>
          <m:rPr>
            <m:sty m:val="p"/>
          </m:rPr>
          <m:t>]</m:t>
        </m:r>
      </m:oMath>
      <w:r>
        <w:t xml:space="preserve"> </w:t>
      </w:r>
      <w:r>
        <w:t xml:space="preserve">and</w:t>
      </w:r>
      <w:r>
        <w:t xml:space="preserve"> </w:t>
      </w:r>
      <m:oMath>
        <m:r>
          <m:t>0.040</m:t>
        </m:r>
      </m:oMath>
      <w:r>
        <w:t xml:space="preserve"> </w:t>
      </w:r>
      <m:oMath>
        <m:r>
          <m:rPr>
            <m:sty m:val="p"/>
          </m:rPr>
          <m:t>[</m:t>
        </m:r>
        <m:r>
          <m:rPr>
            <m:sty m:val="p"/>
          </m:rPr>
          <m:t>−</m:t>
        </m:r>
        <m:r>
          <m:t>0.153</m:t>
        </m:r>
        <m:r>
          <m:rPr>
            <m:sty m:val="p"/>
          </m:rPr>
          <m:t>,</m:t>
        </m:r>
        <m:r>
          <m:t>0.232</m:t>
        </m:r>
        <m:r>
          <m:rPr>
            <m:sty m:val="p"/>
          </m:rPr>
          <m:t>]</m:t>
        </m:r>
      </m:oMath>
      <w:r>
        <w:t xml:space="preserve">.</w:t>
      </w:r>
    </w:p>
    <w:p>
      <w:pPr>
        <w:pStyle w:val="Compact"/>
        <w:numPr>
          <w:ilvl w:val="0"/>
          <w:numId w:val="1002"/>
        </w:numPr>
      </w:pPr>
      <w:r>
        <w:rPr>
          <w:b/>
          <w:bCs/>
        </w:rPr>
        <w:t xml:space="preserve">Three-frame design,</w:t>
      </w:r>
      <w:r>
        <w:rPr>
          <w:b/>
          <w:bCs/>
        </w:rPr>
        <w:t xml:space="preserve"> </w:t>
      </w:r>
      <m:oMath>
        <m:r>
          <m:t>λ</m:t>
        </m:r>
        <m:r>
          <m:rPr>
            <m:sty m:val="p"/>
          </m:rPr>
          <m:t>=</m:t>
        </m:r>
        <m:r>
          <m:t>0.3</m:t>
        </m:r>
      </m:oMath>
      <w:r>
        <w:rPr>
          <w:b/>
          <w:bCs/>
        </w:rPr>
        <w:t xml:space="preserve">,</w:t>
      </w:r>
      <w:r>
        <w:rPr>
          <w:b/>
          <w:bCs/>
        </w:rPr>
        <w:t xml:space="preserve"> </w:t>
      </w:r>
      <m:oMath>
        <m:r>
          <m:t>φ</m:t>
        </m:r>
        <m:r>
          <m:rPr>
            <m:sty m:val="p"/>
          </m:rPr>
          <m:t>=</m:t>
        </m:r>
        <m:r>
          <m:t>0.8</m:t>
        </m:r>
      </m:oMath>
      <w:r>
        <w:rPr>
          <w:b/>
          <w:bCs/>
        </w:rPr>
        <w:t xml:space="preserve">, 100 models per seed.</w:t>
      </w:r>
      <w:r>
        <w:t xml:space="preserve"> </w:t>
      </w:r>
      <w:r>
        <w:t xml:space="preserve">Records qualified in every model. They lay in the coupling frame in every model and in the internal-locality frame in 0% and 1% of models.</w:t>
      </w:r>
    </w:p>
    <w:p>
      <w:pPr>
        <w:pStyle w:val="Compact"/>
        <w:numPr>
          <w:ilvl w:val="0"/>
          <w:numId w:val="1002"/>
        </w:numPr>
      </w:pPr>
      <w:r>
        <w:rPr>
          <w:b/>
          <w:bCs/>
        </w:rPr>
        <w:t xml:space="preserve">Total Hamiltonian.</w:t>
      </w:r>
      <w:r>
        <w:t xml:space="preserve"> </w:t>
      </w:r>
      <m:oMath>
        <m:sSub>
          <m:e>
            <m:r>
              <m:t>H</m:t>
            </m:r>
          </m:e>
          <m:sub>
            <m:r>
              <m:t>x</m:t>
            </m:r>
          </m:sub>
        </m:sSub>
      </m:oMath>
      <w:r>
        <w:t xml:space="preserve"> </w:t>
      </w:r>
      <w:r>
        <w:t xml:space="preserve">was more local in the coupling frame in 100% of models for both seeds.</w:t>
      </w:r>
    </w:p>
    <w:p>
      <w:pPr>
        <w:pStyle w:val="Compact"/>
        <w:numPr>
          <w:ilvl w:val="0"/>
          <w:numId w:val="1002"/>
        </w:numPr>
      </w:pPr>
      <w:r>
        <w:rPr>
          <w:b/>
          <w:bCs/>
        </w:rPr>
        <w:t xml:space="preserve">Larger model-sample decoupled run, still three qubits.</w:t>
      </w:r>
      <w:r>
        <w:t xml:space="preserve"> </w:t>
      </w:r>
      <w:r>
        <w:t xml:space="preserve">One further run was declared before execution (seed 20260928, 2,952 models, chosen for a Hoeffding half-width of</w:t>
      </w:r>
      <w:r>
        <w:t xml:space="preserve"> </w:t>
      </w:r>
      <m:oMath>
        <m:r>
          <m:t>0.05</m:t>
        </m:r>
      </m:oMath>
      <w:r>
        <w:t xml:space="preserve">). It gave records in 10.7% of models,</w:t>
      </w:r>
      <w:r>
        <w:t xml:space="preserve"> </w:t>
      </w:r>
      <m:oMath>
        <m:acc>
          <m:accPr>
            <m:chr m:val="‾"/>
          </m:accPr>
          <m:e>
            <m:r>
              <m:t>A</m:t>
            </m:r>
          </m:e>
        </m:acc>
        <m:r>
          <m:rPr>
            <m:sty m:val="p"/>
          </m:rPr>
          <m:t>=</m:t>
        </m:r>
        <m:r>
          <m:t>0.0515</m:t>
        </m:r>
      </m:oMath>
      <w:r>
        <w:t xml:space="preserve">,</w:t>
      </w:r>
      <w:r>
        <w:t xml:space="preserve"> </w:t>
      </w:r>
      <m:oMath>
        <m:acc>
          <m:accPr>
            <m:chr m:val="‾"/>
          </m:accPr>
          <m:e>
            <m:r>
              <m:t>q</m:t>
            </m:r>
          </m:e>
        </m:acc>
        <m:r>
          <m:rPr>
            <m:sty m:val="p"/>
          </m:rPr>
          <m:t>=</m:t>
        </m:r>
        <m:r>
          <m:t>0.0055</m:t>
        </m:r>
      </m:oMath>
      <w:r>
        <w:t xml:space="preserve"> </w:t>
      </w:r>
      <w:r>
        <w:t xml:space="preserve">and</w:t>
      </w:r>
      <w:r>
        <w:t xml:space="preserve"> </w:t>
      </w:r>
      <m:oMath>
        <m:acc>
          <m:accPr>
            <m:chr m:val="̂"/>
          </m:accPr>
          <m:e>
            <m:r>
              <m:t>d</m:t>
            </m:r>
          </m:e>
        </m:acc>
        <m:r>
          <m:rPr>
            <m:sty m:val="p"/>
          </m:rPr>
          <m:t>=</m:t>
        </m:r>
        <m:r>
          <m:t>0.046</m:t>
        </m:r>
      </m:oMath>
      <w:r>
        <w:t xml:space="preserve"> </w:t>
      </w:r>
      <m:oMath>
        <m:r>
          <m:rPr>
            <m:sty m:val="p"/>
          </m:rPr>
          <m:t>[</m:t>
        </m:r>
        <m:r>
          <m:rPr>
            <m:sty m:val="p"/>
          </m:rPr>
          <m:t>−</m:t>
        </m:r>
        <m:r>
          <m:t>0.004</m:t>
        </m:r>
        <m:r>
          <m:rPr>
            <m:sty m:val="p"/>
          </m:rPr>
          <m:t>,</m:t>
        </m:r>
        <m:r>
          <m:t>0.096</m:t>
        </m:r>
        <m:r>
          <m:rPr>
            <m:sty m:val="p"/>
          </m:rPr>
          <m:t>]</m:t>
        </m:r>
      </m:oMath>
      <w:r>
        <w:t xml:space="preserve">.</w:t>
      </w:r>
    </w:p>
    <w:bookmarkEnd w:id="27"/>
    <w:bookmarkStart w:id="28" w:name="X0cd6757497df025e5d87a16ab30a22ac5785f02"/>
    <w:p>
      <w:pPr>
        <w:pStyle w:val="Heading3"/>
      </w:pPr>
      <w:r>
        <w:t xml:space="preserve">S2.6 What the calculation shows, and what it does not</w:t>
      </w:r>
    </w:p>
    <w:p>
      <w:pPr>
        <w:pStyle w:val="Compact"/>
        <w:numPr>
          <w:ilvl w:val="0"/>
          <w:numId w:val="1003"/>
        </w:numPr>
      </w:pPr>
      <w:r>
        <w:rPr>
          <w:b/>
          <w:bCs/>
        </w:rPr>
        <w:t xml:space="preserve">Shared frames produce enrichment by construction.</w:t>
      </w:r>
      <w:r>
        <w:t xml:space="preserve"> </w:t>
      </w:r>
      <w:r>
        <w:t xml:space="preserve">The estimate</w:t>
      </w:r>
      <w:r>
        <w:t xml:space="preserve"> </w:t>
      </w:r>
      <m:oMath>
        <m:acc>
          <m:accPr>
            <m:chr m:val="̂"/>
          </m:accPr>
          <m:e>
            <m:r>
              <m:t>d</m:t>
            </m:r>
          </m:e>
        </m:acc>
        <m:r>
          <m:rPr>
            <m:sty m:val="p"/>
          </m:rPr>
          <m:t>=</m:t>
        </m:r>
        <m:r>
          <m:t>0.95</m:t>
        </m:r>
      </m:oMath>
      <w:r>
        <w:t xml:space="preserve"> </w:t>
      </w:r>
      <w:r>
        <w:t xml:space="preserve">reflects the design, not a regularity of the model class.</w:t>
      </w:r>
    </w:p>
    <w:p>
      <w:pPr>
        <w:pStyle w:val="Compact"/>
        <w:numPr>
          <w:ilvl w:val="0"/>
          <w:numId w:val="1003"/>
        </w:numPr>
      </w:pPr>
      <w:r>
        <w:rPr>
          <w:b/>
          <w:bCs/>
        </w:rPr>
        <w:t xml:space="preserve">Records track the frame in which the ready resource and the source coupling are aligned.</w:t>
      </w:r>
      <w:r>
        <w:t xml:space="preserve"> </w:t>
      </w:r>
      <w:r>
        <w:t xml:space="preserve">A ready resource rotated away from the coupling produces few records, and they do not follow the resource (Table S5).</w:t>
      </w:r>
    </w:p>
    <w:p>
      <w:pPr>
        <w:pStyle w:val="Compact"/>
        <w:numPr>
          <w:ilvl w:val="0"/>
          <w:numId w:val="1003"/>
        </w:numPr>
      </w:pPr>
      <w:r>
        <w:rPr>
          <w:b/>
          <w:bCs/>
        </w:rPr>
        <w:t xml:space="preserve">The verdict depends on which Hamiltonian defines locality.</w:t>
      </w:r>
      <w:r>
        <w:t xml:space="preserve"> </w:t>
      </w:r>
      <w:r>
        <w:t xml:space="preserve">When the coupling and the resource move together, records move with them, away from the internal-locality frame, and into the frame in which the total Hamiltonian is most local (Table S6 and Section S2.5). Its descriptive pattern differs for internal versus branchwise total locality. Neither reading is a calibrated verdict on LRA-int or LRA-tot, because the exploratory time-averaged record outcome and label reference are not the prospective persistent-record test.</w:t>
      </w:r>
    </w:p>
    <w:p>
      <w:pPr>
        <w:pStyle w:val="Compact"/>
        <w:numPr>
          <w:ilvl w:val="0"/>
          <w:numId w:val="1003"/>
        </w:numPr>
      </w:pPr>
      <w:r>
        <w:rPr>
          <w:b/>
          <w:bCs/>
        </w:rPr>
        <w:t xml:space="preserve">The</w:t>
      </w:r>
      <w:r>
        <w:rPr>
          <w:b/>
          <w:bCs/>
        </w:rPr>
        <w:t xml:space="preserve"> </w:t>
      </w:r>
      <w:r>
        <w:rPr>
          <w:b/>
          <w:bCs/>
        </w:rPr>
        <w:t xml:space="preserve">“</w:t>
      </w:r>
      <w:r>
        <w:rPr>
          <w:b/>
          <w:bCs/>
        </w:rPr>
        <w:t xml:space="preserve">decoupled</w:t>
      </w:r>
      <w:r>
        <w:rPr>
          <w:b/>
          <w:bCs/>
        </w:rPr>
        <w:t xml:space="preserve">”</w:t>
      </w:r>
      <w:r>
        <w:rPr>
          <w:b/>
          <w:bCs/>
        </w:rPr>
        <w:t xml:space="preserve"> </w:t>
      </w:r>
      <w:r>
        <w:rPr>
          <w:b/>
          <w:bCs/>
        </w:rPr>
        <w:t xml:space="preserve">arm is only partly decoupled.</w:t>
      </w:r>
      <w:r>
        <w:t xml:space="preserve"> </w:t>
      </w:r>
      <w:r>
        <w:t xml:space="preserve">Its coupling remains local in the dynamics frame. Its small descriptive enrichment (</w:t>
      </w:r>
      <m:oMath>
        <m:acc>
          <m:accPr>
            <m:chr m:val="̂"/>
          </m:accPr>
          <m:e>
            <m:r>
              <m:t>d</m:t>
            </m:r>
          </m:e>
        </m:acc>
        <m:r>
          <m:rPr>
            <m:sty m:val="p"/>
          </m:rPr>
          <m:t>=</m:t>
        </m:r>
        <m:r>
          <m:t>0.046</m:t>
        </m:r>
      </m:oMath>
      <w:r>
        <w:t xml:space="preserve">) is compatible with influence from the shared coupling frame, but the toy does not isolate that cause; and its interval,</w:t>
      </w:r>
      <w:r>
        <w:t xml:space="preserve"> </w:t>
      </w:r>
      <m:oMath>
        <m:r>
          <m:t>U</m:t>
        </m:r>
        <m:r>
          <m:rPr>
            <m:sty m:val="p"/>
          </m:rPr>
          <m:t>=</m:t>
        </m:r>
        <m:r>
          <m:t>0.096</m:t>
        </m:r>
      </m:oMath>
      <w:r>
        <w:t xml:space="preserve">, lies just below a margin of</w:t>
      </w:r>
      <w:r>
        <w:t xml:space="preserve"> </w:t>
      </w:r>
      <m:oMath>
        <m:r>
          <m:t>Δ</m:t>
        </m:r>
        <m:r>
          <m:rPr>
            <m:sty m:val="p"/>
          </m:rPr>
          <m:t>=</m:t>
        </m:r>
        <m:r>
          <m:t>0.1</m:t>
        </m:r>
      </m:oMath>
      <w:r>
        <w:t xml:space="preserve">. This is not evidence about any conjecture.</w:t>
      </w:r>
    </w:p>
    <w:p>
      <w:pPr>
        <w:pStyle w:val="FirstParagraph"/>
      </w:pPr>
      <w:r>
        <w:t xml:space="preserve">The calculation has three qubits, 20 candidates, Haar candidates not demonstrated to form an exhaustive set of equivalence classes, a simplified record score and thresholds chosen during development. The coupling has a larger declared norm than the internal Hamiltonian at</w:t>
      </w:r>
      <w:r>
        <w:t xml:space="preserve"> </w:t>
      </w:r>
      <m:oMath>
        <m:r>
          <m:t>λ</m:t>
        </m:r>
        <m:r>
          <m:rPr>
            <m:sty m:val="p"/>
          </m:rPr>
          <m:t>≤</m:t>
        </m:r>
        <m:r>
          <m:t>1</m:t>
        </m:r>
      </m:oMath>
      <w:r>
        <w:t xml:space="preserve">; that norm comparison alone is not a record-persistence guarantee. Its role is to show that the questions in Section 7 need to be posed with frames declared separately.</w:t>
      </w:r>
    </w:p>
    <w:bookmarkEnd w:id="28"/>
    <w:bookmarkEnd w:id="29"/>
    <w:bookmarkStart w:id="31" w:name="X5882530c23fb2605e531fa0c9f8152e02ce8101"/>
    <w:p>
      <w:pPr>
        <w:pStyle w:val="Heading2"/>
      </w:pPr>
      <w:r>
        <w:t xml:space="preserve">S3. Post hoc sign tests and window diagnostics</w:t>
      </w:r>
    </w:p>
    <w:p>
      <w:pPr>
        <w:pStyle w:val="FirstParagraph"/>
      </w:pPr>
      <w:r>
        <w:t xml:space="preserve">The four-row directional analysis uses the immutable per-unit contrast data and verifies them against the full trajectories. Its null is Pr(z&gt;0 given z is nonzero)=1/2 for independent signs; it is not a zero-mean null. No ties were observed. Exact binomial p-values and a four-row Holm adjustment are reported in the results log. The Holm family was chosen during review, not in the pre-execution plan. Dependence between the paired arms is not treated as extra sample size.</w:t>
      </w:r>
    </w:p>
    <w:p>
      <w:pPr>
        <w:pStyle w:val="BodyText"/>
      </w:pPr>
      <w:r>
        <w:t xml:space="preserve">The script also reports initial-eligibility and transient-access counts by frame, and compares both source encodings in an ideal exchange-chain transport control. The phase-superposition pilot code has singleton distinguishability |f|, while the vacuum-versus-excitation control has |f| squared. These are not interchangeable time-window diagnostics. The original study’s thresholds, windows and data remain unchanged.</w:t>
      </w:r>
    </w:p>
    <w:p>
      <w:pPr>
        <w:pStyle w:val="SourceCode"/>
      </w:pPr>
      <w:r>
        <w:rPr>
          <w:rStyle w:val="VerbatimChar"/>
        </w:rPr>
        <w:t xml:space="preserve">OPENBLAS_NUM_THREADS=1 OMP_NUM_THREADS=1 python code/analyze_review_additions.py --root . --out /path/to/fresh_review_analysis</w:t>
      </w:r>
    </w:p>
    <w:p>
      <w:pPr>
        <w:pStyle w:val="FirstParagraph"/>
      </w:pPr>
      <w:r>
        <w:t xml:space="preserve">The code refuses a nonempty output folder. It writes</w:t>
      </w:r>
      <w:r>
        <w:t xml:space="preserve"> </w:t>
      </w:r>
      <w:r>
        <w:rPr>
          <w:rStyle w:val="VerbatimChar"/>
        </w:rPr>
        <w:t xml:space="preserve">review_analysis.json</w:t>
      </w:r>
      <w:r>
        <w:t xml:space="preserve">,</w:t>
      </w:r>
      <w:r>
        <w:t xml:space="preserve"> </w:t>
      </w:r>
      <w:r>
        <w:rPr>
          <w:rStyle w:val="VerbatimChar"/>
        </w:rPr>
        <w:t xml:space="preserve">sign_tests.csv</w:t>
      </w:r>
      <w:r>
        <w:t xml:space="preserve">,</w:t>
      </w:r>
      <w:r>
        <w:t xml:space="preserve"> </w:t>
      </w:r>
      <w:r>
        <w:rPr>
          <w:rStyle w:val="VerbatimChar"/>
        </w:rPr>
        <w:t xml:space="preserve">transport_window_checks.csv</w:t>
      </w:r>
      <w:r>
        <w:t xml:space="preserve">,</w:t>
      </w:r>
      <w:r>
        <w:t xml:space="preserve"> </w:t>
      </w:r>
      <w:r>
        <w:rPr>
          <w:rStyle w:val="VerbatimChar"/>
        </w:rPr>
        <w:t xml:space="preserve">transport_encodings.csv</w:t>
      </w:r>
      <w:r>
        <w:t xml:space="preserve"> </w:t>
      </w:r>
      <w:r>
        <w:t xml:space="preserve">and</w:t>
      </w:r>
      <w:r>
        <w:t xml:space="preserve"> </w:t>
      </w:r>
      <w:r>
        <w:rPr>
          <w:rStyle w:val="VerbatimChar"/>
        </w:rPr>
        <w:t xml:space="preserve">initial_floor_diagnostics.csv</w:t>
      </w:r>
      <w:r>
        <w:t xml:space="preserve">. The last file counts site/unit pairs, not independent observations. Mathematical derivations, same-code replay, separate-method checks and external replication remain distinct.</w:t>
      </w:r>
    </w:p>
    <w:bookmarkStart w:id="30" w:name="Xc9f6903f4f09b74f093fdc7bde7b6bf7684f923"/>
    <w:p>
      <w:pPr>
        <w:pStyle w:val="Heading3"/>
      </w:pPr>
      <w:r>
        <w:t xml:space="preserve">S3.1 Initial eligibility and transient strong access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180"/>
        <w:gridCol w:w="1671"/>
        <w:gridCol w:w="2360"/>
        <w:gridCol w:w="2458"/>
        <w:gridCol w:w="2163"/>
      </w:tblGrid>
      <w:tr>
        <w:trPr>
          <w:tblHeader w:val="on"/>
          <w:tblHeader/>
          <w:cantSplit/>
        </w:trPr>
        <w:tc>
          <w:tcPr>
            <w:shd w:fill="EAF0F4"/>
            <w:tcW w:type="dxa" w:w="1180"/>
            <w:vAlign w:val="top"/>
          </w:tcPr>
          <w:p>
            <w:pPr>
              <w:pStyle w:val="Compact"/>
              <w:spacing w:after="60" w:line="240" w:lineRule="auto"/>
              <w:jc w:val="left"/>
            </w:pPr>
            <w:r>
              <w:rPr>
                <w:rFonts w:ascii="Carlito" w:hAnsi="Carlito"/>
                <w:b/>
                <w:sz w:val="17"/>
              </w:rPr>
              <w:t xml:space="preserve">Qubits</w:t>
            </w:r>
          </w:p>
        </w:tc>
        <w:tc>
          <w:tcPr>
            <w:shd w:fill="EAF0F4"/>
            <w:tcW w:type="dxa" w:w="1671"/>
            <w:vAlign w:val="top"/>
          </w:tcPr>
          <w:p>
            <w:pPr>
              <w:pStyle w:val="Compact"/>
              <w:spacing w:after="60" w:line="240" w:lineRule="auto"/>
              <w:jc w:val="left"/>
            </w:pPr>
            <w:r>
              <w:rPr>
                <w:rFonts w:ascii="Carlito" w:hAnsi="Carlito"/>
                <w:b/>
                <w:sz w:val="17"/>
              </w:rPr>
              <w:t xml:space="preserve">Arm</w:t>
            </w:r>
          </w:p>
        </w:tc>
        <w:tc>
          <w:tcPr>
            <w:shd w:fill="EAF0F4"/>
            <w:tcW w:type="dxa" w:w="2360"/>
            <w:vAlign w:val="top"/>
          </w:tcPr>
          <w:p>
            <w:pPr>
              <w:pStyle w:val="Compact"/>
              <w:spacing w:after="60" w:line="240" w:lineRule="auto"/>
              <w:jc w:val="left"/>
            </w:pPr>
            <w:r>
              <w:rPr>
                <w:rFonts w:ascii="Carlito" w:hAnsi="Carlito"/>
                <w:b/>
                <w:sz w:val="17"/>
              </w:rPr>
              <w:t xml:space="preserve">Frame</w:t>
            </w:r>
          </w:p>
        </w:tc>
        <w:tc>
          <w:tcPr>
            <w:shd w:fill="EAF0F4"/>
            <w:tcW w:type="dxa" w:w="2458"/>
            <w:vAlign w:val="top"/>
          </w:tcPr>
          <w:p>
            <w:pPr>
              <w:pStyle w:val="Compact"/>
              <w:spacing w:after="60" w:line="240" w:lineRule="auto"/>
              <w:jc w:val="left"/>
            </w:pPr>
            <w:r>
              <w:rPr>
                <w:rFonts w:ascii="Carlito" w:hAnsi="Carlito"/>
                <w:b/>
                <w:sz w:val="17"/>
              </w:rPr>
              <w:t xml:space="preserve">Eligible / total site-unit pairs</w:t>
            </w:r>
          </w:p>
        </w:tc>
        <w:tc>
          <w:tcPr>
            <w:shd w:fill="EAF0F4"/>
            <w:tcW w:type="dxa" w:w="2163"/>
            <w:vAlign w:val="top"/>
          </w:tcPr>
          <w:p>
            <w:pPr>
              <w:pStyle w:val="Compact"/>
              <w:spacing w:after="60" w:line="240" w:lineRule="auto"/>
              <w:jc w:val="left"/>
            </w:pPr>
            <w:r>
              <w:rPr>
                <w:rFonts w:ascii="Carlito" w:hAnsi="Carlito"/>
                <w:b/>
                <w:sz w:val="17"/>
              </w:rPr>
              <w:t xml:space="preserve">Ever reaches d &gt;= 0.8</w:t>
            </w:r>
          </w:p>
        </w:tc>
      </w:tr>
      <w:tr>
        <w:trPr>
          <w:cantSplit/>
        </w:trPr>
        <w:tc>
          <w:tcPr>
            <w:tcW w:type="dxa" w:w="1180"/>
            <w:vAlign w:val="top"/>
          </w:tcPr>
          <w:p>
            <w:pPr>
              <w:pStyle w:val="Compact"/>
              <w:spacing w:after="60" w:line="240" w:lineRule="auto"/>
              <w:jc w:val="left"/>
            </w:pPr>
            <w:r>
              <w:rPr>
                <w:rFonts w:ascii="Carlito" w:hAnsi="Carlito"/>
                <w:sz w:val="17"/>
              </w:rPr>
              <w:t xml:space="preserve">4</w:t>
            </w:r>
          </w:p>
        </w:tc>
        <w:tc>
          <w:tcPr>
            <w:tcW w:type="dxa" w:w="1671"/>
            <w:vAlign w:val="top"/>
          </w:tcPr>
          <w:p>
            <w:pPr>
              <w:pStyle w:val="Compact"/>
              <w:spacing w:after="60" w:line="240" w:lineRule="auto"/>
              <w:jc w:val="left"/>
            </w:pPr>
            <w:r>
              <w:rPr>
                <w:rFonts w:ascii="Carlito" w:hAnsi="Carlito"/>
                <w:sz w:val="17"/>
              </w:rPr>
              <w:t xml:space="preserve">native</w:t>
            </w:r>
          </w:p>
        </w:tc>
        <w:tc>
          <w:tcPr>
            <w:tcW w:type="dxa" w:w="2360"/>
            <w:vAlign w:val="top"/>
          </w:tcPr>
          <w:p>
            <w:pPr>
              <w:pStyle w:val="Compact"/>
              <w:spacing w:after="60" w:line="240" w:lineRule="auto"/>
              <w:jc w:val="left"/>
            </w:pPr>
            <w:r>
              <w:rPr>
                <w:rFonts w:ascii="Carlito" w:hAnsi="Carlito"/>
                <w:sz w:val="17"/>
              </w:rPr>
              <w:t xml:space="preserve">L</w:t>
            </w:r>
          </w:p>
        </w:tc>
        <w:tc>
          <w:tcPr>
            <w:tcW w:type="dxa" w:w="2458"/>
            <w:vAlign w:val="top"/>
          </w:tcPr>
          <w:p>
            <w:pPr>
              <w:pStyle w:val="Compact"/>
              <w:spacing w:after="60" w:line="240" w:lineRule="auto"/>
              <w:jc w:val="left"/>
            </w:pPr>
            <w:r>
              <w:rPr>
                <w:rFonts w:ascii="Carlito" w:hAnsi="Carlito"/>
                <w:sz w:val="17"/>
              </w:rPr>
              <w:t xml:space="preserve">288 / 384</w:t>
            </w:r>
          </w:p>
        </w:tc>
        <w:tc>
          <w:tcPr>
            <w:tcW w:type="dxa" w:w="2163"/>
            <w:vAlign w:val="top"/>
          </w:tcPr>
          <w:p>
            <w:pPr>
              <w:pStyle w:val="Compact"/>
              <w:spacing w:after="60" w:line="240" w:lineRule="auto"/>
              <w:jc w:val="left"/>
            </w:pPr>
            <w:r>
              <w:rPr>
                <w:rFonts w:ascii="Carlito" w:hAnsi="Carlito"/>
                <w:sz w:val="17"/>
              </w:rPr>
              <w:t xml:space="preserve">5</w:t>
            </w:r>
          </w:p>
        </w:tc>
      </w:tr>
      <w:tr>
        <w:trPr>
          <w:cantSplit/>
        </w:trPr>
        <w:tc>
          <w:tcPr>
            <w:tcW w:type="dxa" w:w="1180"/>
            <w:vAlign w:val="top"/>
          </w:tcPr>
          <w:p>
            <w:pPr>
              <w:pStyle w:val="Compact"/>
              <w:spacing w:after="60" w:line="240" w:lineRule="auto"/>
              <w:jc w:val="left"/>
            </w:pPr>
            <w:r>
              <w:rPr>
                <w:rFonts w:ascii="Carlito" w:hAnsi="Carlito"/>
                <w:sz w:val="17"/>
              </w:rPr>
              <w:t xml:space="preserve">4</w:t>
            </w:r>
          </w:p>
        </w:tc>
        <w:tc>
          <w:tcPr>
            <w:tcW w:type="dxa" w:w="1671"/>
            <w:vAlign w:val="top"/>
          </w:tcPr>
          <w:p>
            <w:pPr>
              <w:pStyle w:val="Compact"/>
              <w:spacing w:after="60" w:line="240" w:lineRule="auto"/>
              <w:jc w:val="left"/>
            </w:pPr>
            <w:r>
              <w:rPr>
                <w:rFonts w:ascii="Carlito" w:hAnsi="Carlito"/>
                <w:sz w:val="17"/>
              </w:rPr>
              <w:t xml:space="preserve">native</w:t>
            </w:r>
          </w:p>
        </w:tc>
        <w:tc>
          <w:tcPr>
            <w:tcW w:type="dxa" w:w="2360"/>
            <w:vAlign w:val="top"/>
          </w:tcPr>
          <w:p>
            <w:pPr>
              <w:pStyle w:val="Compact"/>
              <w:spacing w:after="60" w:line="240" w:lineRule="auto"/>
              <w:jc w:val="left"/>
            </w:pPr>
            <w:r>
              <w:rPr>
                <w:rFonts w:ascii="Carlito" w:hAnsi="Carlito"/>
                <w:sz w:val="17"/>
              </w:rPr>
              <w:t xml:space="preserve">C</w:t>
            </w:r>
          </w:p>
        </w:tc>
        <w:tc>
          <w:tcPr>
            <w:tcW w:type="dxa" w:w="2458"/>
            <w:vAlign w:val="top"/>
          </w:tcPr>
          <w:p>
            <w:pPr>
              <w:pStyle w:val="Compact"/>
              <w:spacing w:after="60" w:line="240" w:lineRule="auto"/>
              <w:jc w:val="left"/>
            </w:pPr>
            <w:r>
              <w:rPr>
                <w:rFonts w:ascii="Carlito" w:hAnsi="Carlito"/>
                <w:sz w:val="17"/>
              </w:rPr>
              <w:t xml:space="preserve">192 / 384</w:t>
            </w:r>
          </w:p>
        </w:tc>
        <w:tc>
          <w:tcPr>
            <w:tcW w:type="dxa" w:w="2163"/>
            <w:vAlign w:val="top"/>
          </w:tcPr>
          <w:p>
            <w:pPr>
              <w:pStyle w:val="Compact"/>
              <w:spacing w:after="60" w:line="240" w:lineRule="auto"/>
              <w:jc w:val="left"/>
            </w:pPr>
            <w:r>
              <w:rPr>
                <w:rFonts w:ascii="Carlito" w:hAnsi="Carlito"/>
                <w:sz w:val="17"/>
              </w:rPr>
              <w:t xml:space="preserve">0</w:t>
            </w:r>
          </w:p>
        </w:tc>
      </w:tr>
      <w:tr>
        <w:trPr>
          <w:cantSplit/>
        </w:trPr>
        <w:tc>
          <w:tcPr>
            <w:tcW w:type="dxa" w:w="1180"/>
            <w:vAlign w:val="top"/>
          </w:tcPr>
          <w:p>
            <w:pPr>
              <w:pStyle w:val="Compact"/>
              <w:spacing w:after="60" w:line="240" w:lineRule="auto"/>
              <w:jc w:val="left"/>
            </w:pPr>
            <w:r>
              <w:rPr>
                <w:rFonts w:ascii="Carlito" w:hAnsi="Carlito"/>
                <w:sz w:val="17"/>
              </w:rPr>
              <w:t xml:space="preserve">4</w:t>
            </w:r>
          </w:p>
        </w:tc>
        <w:tc>
          <w:tcPr>
            <w:tcW w:type="dxa" w:w="1671"/>
            <w:vAlign w:val="top"/>
          </w:tcPr>
          <w:p>
            <w:pPr>
              <w:pStyle w:val="Compact"/>
              <w:spacing w:after="60" w:line="240" w:lineRule="auto"/>
              <w:jc w:val="left"/>
            </w:pPr>
            <w:r>
              <w:rPr>
                <w:rFonts w:ascii="Carlito" w:hAnsi="Carlito"/>
                <w:sz w:val="17"/>
              </w:rPr>
              <w:t xml:space="preserve">rotated</w:t>
            </w:r>
          </w:p>
        </w:tc>
        <w:tc>
          <w:tcPr>
            <w:tcW w:type="dxa" w:w="2360"/>
            <w:vAlign w:val="top"/>
          </w:tcPr>
          <w:p>
            <w:pPr>
              <w:pStyle w:val="Compact"/>
              <w:spacing w:after="60" w:line="240" w:lineRule="auto"/>
              <w:jc w:val="left"/>
            </w:pPr>
            <w:r>
              <w:rPr>
                <w:rFonts w:ascii="Carlito" w:hAnsi="Carlito"/>
                <w:sz w:val="17"/>
              </w:rPr>
              <w:t xml:space="preserve">L</w:t>
            </w:r>
          </w:p>
        </w:tc>
        <w:tc>
          <w:tcPr>
            <w:tcW w:type="dxa" w:w="2458"/>
            <w:vAlign w:val="top"/>
          </w:tcPr>
          <w:p>
            <w:pPr>
              <w:pStyle w:val="Compact"/>
              <w:spacing w:after="60" w:line="240" w:lineRule="auto"/>
              <w:jc w:val="left"/>
            </w:pPr>
            <w:r>
              <w:rPr>
                <w:rFonts w:ascii="Carlito" w:hAnsi="Carlito"/>
                <w:sz w:val="17"/>
              </w:rPr>
              <w:t xml:space="preserve">96 / 384</w:t>
            </w:r>
          </w:p>
        </w:tc>
        <w:tc>
          <w:tcPr>
            <w:tcW w:type="dxa" w:w="2163"/>
            <w:vAlign w:val="top"/>
          </w:tcPr>
          <w:p>
            <w:pPr>
              <w:pStyle w:val="Compact"/>
              <w:spacing w:after="60" w:line="240" w:lineRule="auto"/>
              <w:jc w:val="left"/>
            </w:pPr>
            <w:r>
              <w:rPr>
                <w:rFonts w:ascii="Carlito" w:hAnsi="Carlito"/>
                <w:sz w:val="17"/>
              </w:rPr>
              <w:t xml:space="preserve">0</w:t>
            </w:r>
          </w:p>
        </w:tc>
      </w:tr>
      <w:tr>
        <w:trPr>
          <w:cantSplit/>
        </w:trPr>
        <w:tc>
          <w:tcPr>
            <w:tcW w:type="dxa" w:w="1180"/>
            <w:vAlign w:val="top"/>
          </w:tcPr>
          <w:p>
            <w:pPr>
              <w:pStyle w:val="Compact"/>
              <w:spacing w:after="60" w:line="240" w:lineRule="auto"/>
              <w:jc w:val="left"/>
            </w:pPr>
            <w:r>
              <w:rPr>
                <w:rFonts w:ascii="Carlito" w:hAnsi="Carlito"/>
                <w:sz w:val="17"/>
              </w:rPr>
              <w:t xml:space="preserve">4</w:t>
            </w:r>
          </w:p>
        </w:tc>
        <w:tc>
          <w:tcPr>
            <w:tcW w:type="dxa" w:w="1671"/>
            <w:vAlign w:val="top"/>
          </w:tcPr>
          <w:p>
            <w:pPr>
              <w:pStyle w:val="Compact"/>
              <w:spacing w:after="60" w:line="240" w:lineRule="auto"/>
              <w:jc w:val="left"/>
            </w:pPr>
            <w:r>
              <w:rPr>
                <w:rFonts w:ascii="Carlito" w:hAnsi="Carlito"/>
                <w:sz w:val="17"/>
              </w:rPr>
              <w:t xml:space="preserve">rotated</w:t>
            </w:r>
          </w:p>
        </w:tc>
        <w:tc>
          <w:tcPr>
            <w:tcW w:type="dxa" w:w="2360"/>
            <w:vAlign w:val="top"/>
          </w:tcPr>
          <w:p>
            <w:pPr>
              <w:pStyle w:val="Compact"/>
              <w:spacing w:after="60" w:line="240" w:lineRule="auto"/>
              <w:jc w:val="left"/>
            </w:pPr>
            <w:r>
              <w:rPr>
                <w:rFonts w:ascii="Carlito" w:hAnsi="Carlito"/>
                <w:sz w:val="17"/>
              </w:rPr>
              <w:t xml:space="preserve">C</w:t>
            </w:r>
          </w:p>
        </w:tc>
        <w:tc>
          <w:tcPr>
            <w:tcW w:type="dxa" w:w="2458"/>
            <w:vAlign w:val="top"/>
          </w:tcPr>
          <w:p>
            <w:pPr>
              <w:pStyle w:val="Compact"/>
              <w:spacing w:after="60" w:line="240" w:lineRule="auto"/>
              <w:jc w:val="left"/>
            </w:pPr>
            <w:r>
              <w:rPr>
                <w:rFonts w:ascii="Carlito" w:hAnsi="Carlito"/>
                <w:sz w:val="17"/>
              </w:rPr>
              <w:t xml:space="preserve">288 / 384</w:t>
            </w:r>
          </w:p>
        </w:tc>
        <w:tc>
          <w:tcPr>
            <w:tcW w:type="dxa" w:w="2163"/>
            <w:vAlign w:val="top"/>
          </w:tcPr>
          <w:p>
            <w:pPr>
              <w:pStyle w:val="Compact"/>
              <w:spacing w:after="60" w:line="240" w:lineRule="auto"/>
              <w:jc w:val="left"/>
            </w:pPr>
            <w:r>
              <w:rPr>
                <w:rFonts w:ascii="Carlito" w:hAnsi="Carlito"/>
                <w:sz w:val="17"/>
              </w:rPr>
              <w:t xml:space="preserve">0</w:t>
            </w:r>
          </w:p>
        </w:tc>
      </w:tr>
      <w:tr>
        <w:trPr>
          <w:cantSplit/>
        </w:trPr>
        <w:tc>
          <w:tcPr>
            <w:tcW w:type="dxa" w:w="1180"/>
            <w:vAlign w:val="top"/>
          </w:tcPr>
          <w:p>
            <w:pPr>
              <w:pStyle w:val="Compact"/>
              <w:spacing w:after="60" w:line="240" w:lineRule="auto"/>
              <w:jc w:val="left"/>
            </w:pPr>
            <w:r>
              <w:rPr>
                <w:rFonts w:ascii="Carlito" w:hAnsi="Carlito"/>
                <w:sz w:val="17"/>
              </w:rPr>
              <w:t xml:space="preserve">6</w:t>
            </w:r>
          </w:p>
        </w:tc>
        <w:tc>
          <w:tcPr>
            <w:tcW w:type="dxa" w:w="1671"/>
            <w:vAlign w:val="top"/>
          </w:tcPr>
          <w:p>
            <w:pPr>
              <w:pStyle w:val="Compact"/>
              <w:spacing w:after="60" w:line="240" w:lineRule="auto"/>
              <w:jc w:val="left"/>
            </w:pPr>
            <w:r>
              <w:rPr>
                <w:rFonts w:ascii="Carlito" w:hAnsi="Carlito"/>
                <w:sz w:val="17"/>
              </w:rPr>
              <w:t xml:space="preserve">native</w:t>
            </w:r>
          </w:p>
        </w:tc>
        <w:tc>
          <w:tcPr>
            <w:tcW w:type="dxa" w:w="2360"/>
            <w:vAlign w:val="top"/>
          </w:tcPr>
          <w:p>
            <w:pPr>
              <w:pStyle w:val="Compact"/>
              <w:spacing w:after="60" w:line="240" w:lineRule="auto"/>
              <w:jc w:val="left"/>
            </w:pPr>
            <w:r>
              <w:rPr>
                <w:rFonts w:ascii="Carlito" w:hAnsi="Carlito"/>
                <w:sz w:val="17"/>
              </w:rPr>
              <w:t xml:space="preserve">L</w:t>
            </w:r>
          </w:p>
        </w:tc>
        <w:tc>
          <w:tcPr>
            <w:tcW w:type="dxa" w:w="2458"/>
            <w:vAlign w:val="top"/>
          </w:tcPr>
          <w:p>
            <w:pPr>
              <w:pStyle w:val="Compact"/>
              <w:spacing w:after="60" w:line="240" w:lineRule="auto"/>
              <w:jc w:val="left"/>
            </w:pPr>
            <w:r>
              <w:rPr>
                <w:rFonts w:ascii="Carlito" w:hAnsi="Carlito"/>
                <w:sz w:val="17"/>
              </w:rPr>
              <w:t xml:space="preserve">480 / 576</w:t>
            </w:r>
          </w:p>
        </w:tc>
        <w:tc>
          <w:tcPr>
            <w:tcW w:type="dxa" w:w="2163"/>
            <w:vAlign w:val="top"/>
          </w:tcPr>
          <w:p>
            <w:pPr>
              <w:pStyle w:val="Compact"/>
              <w:spacing w:after="60" w:line="240" w:lineRule="auto"/>
              <w:jc w:val="left"/>
            </w:pPr>
            <w:r>
              <w:rPr>
                <w:rFonts w:ascii="Carlito" w:hAnsi="Carlito"/>
                <w:sz w:val="17"/>
              </w:rPr>
              <w:t xml:space="preserve">10</w:t>
            </w:r>
          </w:p>
        </w:tc>
      </w:tr>
      <w:tr>
        <w:trPr>
          <w:cantSplit/>
        </w:trPr>
        <w:tc>
          <w:tcPr>
            <w:tcW w:type="dxa" w:w="1180"/>
            <w:vAlign w:val="top"/>
          </w:tcPr>
          <w:p>
            <w:pPr>
              <w:pStyle w:val="Compact"/>
              <w:spacing w:after="60" w:line="240" w:lineRule="auto"/>
              <w:jc w:val="left"/>
            </w:pPr>
            <w:r>
              <w:rPr>
                <w:rFonts w:ascii="Carlito" w:hAnsi="Carlito"/>
                <w:sz w:val="17"/>
              </w:rPr>
              <w:t xml:space="preserve">6</w:t>
            </w:r>
          </w:p>
        </w:tc>
        <w:tc>
          <w:tcPr>
            <w:tcW w:type="dxa" w:w="1671"/>
            <w:vAlign w:val="top"/>
          </w:tcPr>
          <w:p>
            <w:pPr>
              <w:pStyle w:val="Compact"/>
              <w:spacing w:after="60" w:line="240" w:lineRule="auto"/>
              <w:jc w:val="left"/>
            </w:pPr>
            <w:r>
              <w:rPr>
                <w:rFonts w:ascii="Carlito" w:hAnsi="Carlito"/>
                <w:sz w:val="17"/>
              </w:rPr>
              <w:t xml:space="preserve">native</w:t>
            </w:r>
          </w:p>
        </w:tc>
        <w:tc>
          <w:tcPr>
            <w:tcW w:type="dxa" w:w="2360"/>
            <w:vAlign w:val="top"/>
          </w:tcPr>
          <w:p>
            <w:pPr>
              <w:pStyle w:val="Compact"/>
              <w:spacing w:after="60" w:line="240" w:lineRule="auto"/>
              <w:jc w:val="left"/>
            </w:pPr>
            <w:r>
              <w:rPr>
                <w:rFonts w:ascii="Carlito" w:hAnsi="Carlito"/>
                <w:sz w:val="17"/>
              </w:rPr>
              <w:t xml:space="preserve">C</w:t>
            </w:r>
          </w:p>
        </w:tc>
        <w:tc>
          <w:tcPr>
            <w:tcW w:type="dxa" w:w="2458"/>
            <w:vAlign w:val="top"/>
          </w:tcPr>
          <w:p>
            <w:pPr>
              <w:pStyle w:val="Compact"/>
              <w:spacing w:after="60" w:line="240" w:lineRule="auto"/>
              <w:jc w:val="left"/>
            </w:pPr>
            <w:r>
              <w:rPr>
                <w:rFonts w:ascii="Carlito" w:hAnsi="Carlito"/>
                <w:sz w:val="17"/>
              </w:rPr>
              <w:t xml:space="preserve">384 / 576</w:t>
            </w:r>
          </w:p>
        </w:tc>
        <w:tc>
          <w:tcPr>
            <w:tcW w:type="dxa" w:w="2163"/>
            <w:vAlign w:val="top"/>
          </w:tcPr>
          <w:p>
            <w:pPr>
              <w:pStyle w:val="Compact"/>
              <w:spacing w:after="60" w:line="240" w:lineRule="auto"/>
              <w:jc w:val="left"/>
            </w:pPr>
            <w:r>
              <w:rPr>
                <w:rFonts w:ascii="Carlito" w:hAnsi="Carlito"/>
                <w:sz w:val="17"/>
              </w:rPr>
              <w:t xml:space="preserve">0</w:t>
            </w:r>
          </w:p>
        </w:tc>
      </w:tr>
      <w:tr>
        <w:trPr>
          <w:cantSplit/>
        </w:trPr>
        <w:tc>
          <w:tcPr>
            <w:tcW w:type="dxa" w:w="1180"/>
            <w:vAlign w:val="top"/>
          </w:tcPr>
          <w:p>
            <w:pPr>
              <w:pStyle w:val="Compact"/>
              <w:spacing w:after="60" w:line="240" w:lineRule="auto"/>
              <w:jc w:val="left"/>
            </w:pPr>
            <w:r>
              <w:rPr>
                <w:rFonts w:ascii="Carlito" w:hAnsi="Carlito"/>
                <w:sz w:val="17"/>
              </w:rPr>
              <w:t xml:space="preserve">6</w:t>
            </w:r>
          </w:p>
        </w:tc>
        <w:tc>
          <w:tcPr>
            <w:tcW w:type="dxa" w:w="1671"/>
            <w:vAlign w:val="top"/>
          </w:tcPr>
          <w:p>
            <w:pPr>
              <w:pStyle w:val="Compact"/>
              <w:spacing w:after="60" w:line="240" w:lineRule="auto"/>
              <w:jc w:val="left"/>
            </w:pPr>
            <w:r>
              <w:rPr>
                <w:rFonts w:ascii="Carlito" w:hAnsi="Carlito"/>
                <w:sz w:val="17"/>
              </w:rPr>
              <w:t xml:space="preserve">rotated</w:t>
            </w:r>
          </w:p>
        </w:tc>
        <w:tc>
          <w:tcPr>
            <w:tcW w:type="dxa" w:w="2360"/>
            <w:vAlign w:val="top"/>
          </w:tcPr>
          <w:p>
            <w:pPr>
              <w:pStyle w:val="Compact"/>
              <w:spacing w:after="60" w:line="240" w:lineRule="auto"/>
              <w:jc w:val="left"/>
            </w:pPr>
            <w:r>
              <w:rPr>
                <w:rFonts w:ascii="Carlito" w:hAnsi="Carlito"/>
                <w:sz w:val="17"/>
              </w:rPr>
              <w:t xml:space="preserve">L</w:t>
            </w:r>
          </w:p>
        </w:tc>
        <w:tc>
          <w:tcPr>
            <w:tcW w:type="dxa" w:w="2458"/>
            <w:vAlign w:val="top"/>
          </w:tcPr>
          <w:p>
            <w:pPr>
              <w:pStyle w:val="Compact"/>
              <w:spacing w:after="60" w:line="240" w:lineRule="auto"/>
              <w:jc w:val="left"/>
            </w:pPr>
            <w:r>
              <w:rPr>
                <w:rFonts w:ascii="Carlito" w:hAnsi="Carlito"/>
                <w:sz w:val="17"/>
              </w:rPr>
              <w:t xml:space="preserve">288 / 576</w:t>
            </w:r>
          </w:p>
        </w:tc>
        <w:tc>
          <w:tcPr>
            <w:tcW w:type="dxa" w:w="2163"/>
            <w:vAlign w:val="top"/>
          </w:tcPr>
          <w:p>
            <w:pPr>
              <w:pStyle w:val="Compact"/>
              <w:spacing w:after="60" w:line="240" w:lineRule="auto"/>
              <w:jc w:val="left"/>
            </w:pPr>
            <w:r>
              <w:rPr>
                <w:rFonts w:ascii="Carlito" w:hAnsi="Carlito"/>
                <w:sz w:val="17"/>
              </w:rPr>
              <w:t xml:space="preserve">0</w:t>
            </w:r>
          </w:p>
        </w:tc>
      </w:tr>
      <w:tr>
        <w:trPr>
          <w:cantSplit/>
        </w:trPr>
        <w:tc>
          <w:tcPr>
            <w:tcW w:type="dxa" w:w="1180"/>
            <w:vAlign w:val="top"/>
          </w:tcPr>
          <w:p>
            <w:pPr>
              <w:pStyle w:val="Compact"/>
              <w:spacing w:after="60" w:line="240" w:lineRule="auto"/>
              <w:jc w:val="left"/>
            </w:pPr>
            <w:r>
              <w:rPr>
                <w:rFonts w:ascii="Carlito" w:hAnsi="Carlito"/>
                <w:sz w:val="17"/>
              </w:rPr>
              <w:t xml:space="preserve">6</w:t>
            </w:r>
          </w:p>
        </w:tc>
        <w:tc>
          <w:tcPr>
            <w:tcW w:type="dxa" w:w="1671"/>
            <w:vAlign w:val="top"/>
          </w:tcPr>
          <w:p>
            <w:pPr>
              <w:pStyle w:val="Compact"/>
              <w:spacing w:after="60" w:line="240" w:lineRule="auto"/>
              <w:jc w:val="left"/>
            </w:pPr>
            <w:r>
              <w:rPr>
                <w:rFonts w:ascii="Carlito" w:hAnsi="Carlito"/>
                <w:sz w:val="17"/>
              </w:rPr>
              <w:t xml:space="preserve">rotated</w:t>
            </w:r>
          </w:p>
        </w:tc>
        <w:tc>
          <w:tcPr>
            <w:tcW w:type="dxa" w:w="2360"/>
            <w:vAlign w:val="top"/>
          </w:tcPr>
          <w:p>
            <w:pPr>
              <w:pStyle w:val="Compact"/>
              <w:spacing w:after="60" w:line="240" w:lineRule="auto"/>
              <w:jc w:val="left"/>
            </w:pPr>
            <w:r>
              <w:rPr>
                <w:rFonts w:ascii="Carlito" w:hAnsi="Carlito"/>
                <w:sz w:val="17"/>
              </w:rPr>
              <w:t xml:space="preserve">C</w:t>
            </w:r>
          </w:p>
        </w:tc>
        <w:tc>
          <w:tcPr>
            <w:tcW w:type="dxa" w:w="2458"/>
            <w:vAlign w:val="top"/>
          </w:tcPr>
          <w:p>
            <w:pPr>
              <w:pStyle w:val="Compact"/>
              <w:spacing w:after="60" w:line="240" w:lineRule="auto"/>
              <w:jc w:val="left"/>
            </w:pPr>
            <w:r>
              <w:rPr>
                <w:rFonts w:ascii="Carlito" w:hAnsi="Carlito"/>
                <w:sz w:val="17"/>
              </w:rPr>
              <w:t xml:space="preserve">480 / 576</w:t>
            </w:r>
          </w:p>
        </w:tc>
        <w:tc>
          <w:tcPr>
            <w:tcW w:type="dxa" w:w="2163"/>
            <w:vAlign w:val="top"/>
          </w:tcPr>
          <w:p>
            <w:pPr>
              <w:pStyle w:val="Compact"/>
              <w:spacing w:after="60" w:line="240" w:lineRule="auto"/>
              <w:jc w:val="left"/>
            </w:pPr>
            <w:r>
              <w:rPr>
                <w:rFonts w:ascii="Carlito" w:hAnsi="Carlito"/>
                <w:sz w:val="17"/>
              </w:rPr>
              <w:t xml:space="preserve">0</w:t>
            </w:r>
          </w:p>
        </w:tc>
      </w:tr>
    </w:tbl>
    <w:p>
      <w:pPr>
        <w:pStyle w:val="BodyText"/>
      </w:pPr>
      <w:r>
        <w:t xml:space="preserve">A site-unit pair is not an independent model. These are post hoc diagnostic counts from existing trajectories. A transient threshold crossing does not establish full-window persistence or redundant copying. The strict persistent-record result remains zero under the original definition.</w:t>
      </w:r>
    </w:p>
    <w:bookmarkEnd w:id="30"/>
    <w:bookmarkEnd w:id="31"/>
    <w:bookmarkStart w:id="35" w:name="X55b33bf583e97072089008244c81684f00ee8ff"/>
    <w:p>
      <w:pPr>
        <w:pStyle w:val="Heading2"/>
      </w:pPr>
      <w:r>
        <w:t xml:space="preserve">S4. Factorial extension and paired uncertainty</w:t>
      </w:r>
    </w:p>
    <w:bookmarkStart w:id="32" w:name="s4.1-design-and-replay"/>
    <w:p>
      <w:pPr>
        <w:pStyle w:val="Heading3"/>
      </w:pPr>
      <w:r>
        <w:t xml:space="preserve">S4.1 Design and replay</w:t>
      </w:r>
    </w:p>
    <w:p>
      <w:pPr>
        <w:pStyle w:val="FirstParagraph"/>
      </w:pPr>
      <w:r>
        <w:t xml:space="preserve">The review extension crosses injection L/C with Hamiltonian orientation L/C, with</w:t>
      </w:r>
      <w:r>
        <w:t xml:space="preserve"> </w:t>
      </w:r>
      <m:oMath>
        <m:sSub>
          <m:e>
            <m:r>
              <m:t>H</m:t>
            </m:r>
          </m:e>
          <m:sub>
            <m:r>
              <m:t>C</m:t>
            </m:r>
          </m:sub>
        </m:sSub>
        <m:r>
          <m:rPr>
            <m:sty m:val="p"/>
          </m:rPr>
          <m:t>=</m:t>
        </m:r>
        <m:sSub>
          <m:e>
            <m:r>
              <m:t>U</m:t>
            </m:r>
          </m:e>
          <m:sub>
            <m:r>
              <m:t>C</m:t>
            </m:r>
          </m:sub>
        </m:sSub>
        <m:sSub>
          <m:e>
            <m:r>
              <m:t>H</m:t>
            </m:r>
          </m:e>
          <m:sub>
            <m:r>
              <m:t>L</m:t>
            </m:r>
          </m:sub>
        </m:sSub>
        <m:sSubSup>
          <m:e>
            <m:r>
              <m:t>U</m:t>
            </m:r>
          </m:e>
          <m:sub>
            <m:r>
              <m:t>C</m:t>
            </m:r>
          </m:sub>
          <m:sup>
            <m:r>
              <m:rPr>
                <m:sty m:val="p"/>
              </m:rPr>
              <m:t>†</m:t>
            </m:r>
          </m:sup>
        </m:sSubSup>
      </m:oMath>
      <w:r>
        <w:t xml:space="preserve">. Every unit supplies all four outcomes. The time grid is 0.05 through 2.5 plus the switch-off readout; the common injection code and two-layer circuit follow the original source-off conventions. The main paper and results log define z and</w:t>
      </w:r>
      <w:r>
        <w:t xml:space="preserve"> </w:t>
      </w:r>
      <m:oMath>
        <m:sSub>
          <m:e>
            <m:r>
              <m:t>e</m:t>
            </m:r>
          </m:e>
          <m:sub>
            <m:r>
              <m:t>a</m:t>
            </m:r>
          </m:sub>
        </m:sSub>
      </m:oMath>
      <w:r>
        <w:t xml:space="preserve">. We retain supplied inputs in</w:t>
      </w:r>
      <w:r>
        <w:t xml:space="preserve"> </w:t>
      </w:r>
      <w:r>
        <w:rPr>
          <w:rStyle w:val="VerbatimChar"/>
        </w:rPr>
        <w:t xml:space="preserve">feedback/current/</w:t>
      </w:r>
      <w:r>
        <w:t xml:space="preserve"> </w:t>
      </w:r>
      <w:r>
        <w:t xml:space="preserve">without editing their scripts or their predictions.</w:t>
      </w:r>
    </w:p>
    <w:p>
      <w:pPr>
        <w:pStyle w:val="BodyText"/>
      </w:pPr>
      <w:r>
        <w:rPr>
          <w:rStyle w:val="VerbatimChar"/>
        </w:rPr>
        <w:t xml:space="preserve">code/replay_reviewer.py</w:t>
      </w:r>
      <w:r>
        <w:t xml:space="preserve"> </w:t>
      </w:r>
      <w:r>
        <w:t xml:space="preserve">runs the supplied functions with their original seeds and sample sizes and retains per-unit observables, rather than only aggregate summaries. It replays the 41,000 factorial units, the 60,000-unit reimplementation and its smaller checks, and the 6,000-unit third-frame comparison. Each arm in a unit remains paired. The statement that two routines were written independently refers to source implementation, not statistical independence of their authors’ reasoning or external peer review.</w:t>
      </w:r>
    </w:p>
    <w:bookmarkEnd w:id="32"/>
    <w:bookmarkStart w:id="33" w:name="s4.2-range-and-finite-family-bound"/>
    <w:p>
      <w:pPr>
        <w:pStyle w:val="Heading3"/>
      </w:pPr>
      <w:r>
        <w:t xml:space="preserve">S4.2 Range and finite-family bound</w:t>
      </w:r>
    </w:p>
    <w:p>
      <w:pPr>
        <w:pStyle w:val="FirstParagraph"/>
      </w:pPr>
      <w:r>
        <w:t xml:space="preserve">At fixed injection, the initial gap cancels in the difference between dynamics arms:</w:t>
      </w:r>
    </w:p>
    <w:p>
      <w:pPr>
        <w:pStyle w:val="BodyText"/>
      </w:pPr>
      <m:oMathPara>
        <m:oMathParaPr>
          <m:jc m:val="center"/>
        </m:oMathParaPr>
        <m:oMath>
          <m:sSub>
            <m:e>
              <m:r>
                <m:t>e</m:t>
              </m:r>
            </m:e>
            <m:sub>
              <m:r>
                <m:t>a</m:t>
              </m:r>
            </m:sub>
          </m:sSub>
          <m:r>
            <m:rPr>
              <m:sty m:val="p"/>
            </m:rPr>
            <m:t>=</m:t>
          </m:r>
          <m:f>
            <m:fPr>
              <m:type m:val="lin"/>
            </m:fPr>
            <m:num>
              <m:r>
                <m:t>1</m:t>
              </m:r>
            </m:num>
            <m:den>
              <m:r>
                <m:t>2</m:t>
              </m:r>
            </m:den>
          </m:f>
          <m:r>
            <m:rPr>
              <m:sty m:val="p"/>
            </m:rPr>
            <m:t>(</m:t>
          </m:r>
          <m:sSubSup>
            <m:e>
              <m:r>
                <m:t>g</m:t>
              </m:r>
            </m:e>
            <m:sub>
              <m:r>
                <m:t>L</m:t>
              </m:r>
            </m:sub>
            <m:sup>
              <m:r>
                <m:t>a</m:t>
              </m:r>
            </m:sup>
          </m:sSubSup>
          <m:r>
            <m:rPr>
              <m:sty m:val="p"/>
            </m:rPr>
            <m:t>−</m:t>
          </m:r>
          <m:sSubSup>
            <m:e>
              <m:r>
                <m:t>g</m:t>
              </m:r>
            </m:e>
            <m:sub>
              <m:r>
                <m:t>C</m:t>
              </m:r>
            </m:sub>
            <m:sup>
              <m:r>
                <m:t>a</m:t>
              </m:r>
            </m:sup>
          </m:sSubSup>
          <m:r>
            <m:rPr>
              <m:sty m:val="p"/>
            </m:rPr>
            <m:t>)</m:t>
          </m:r>
          <m:r>
            <m:rPr>
              <m:sty m:val="p"/>
            </m:rPr>
            <m:t>∈</m:t>
          </m:r>
          <m:r>
            <m:rPr>
              <m:sty m:val="p"/>
            </m:rPr>
            <m:t>[</m:t>
          </m:r>
          <m:r>
            <m:rPr>
              <m:sty m:val="p"/>
            </m:rPr>
            <m:t>−</m:t>
          </m:r>
          <m:r>
            <m:t>1</m:t>
          </m:r>
          <m:r>
            <m:rPr>
              <m:sty m:val="p"/>
            </m:rPr>
            <m:t>,</m:t>
          </m:r>
          <m:r>
            <m:t>1</m:t>
          </m:r>
          <m:r>
            <m:rPr>
              <m:sty m:val="p"/>
            </m:rPr>
            <m:t>]</m:t>
          </m:r>
          <m:r>
            <m:rPr>
              <m:sty m:val="p"/>
            </m:rPr>
            <m:t>.</m:t>
          </m:r>
        </m:oMath>
      </m:oMathPara>
    </w:p>
    <w:p>
      <w:pPr>
        <w:pStyle w:val="FirstParagraph"/>
      </w:pPr>
      <w:r>
        <w:t xml:space="preserve">Let</w:t>
      </w:r>
      <w:r>
        <w:t xml:space="preserve"> </w:t>
      </w:r>
      <m:oMath>
        <m:sSubSup>
          <m:e>
            <m:r>
              <m:t>s</m:t>
            </m:r>
          </m:e>
          <m:sub>
            <m:r>
              <m:t>a</m:t>
            </m:r>
          </m:sub>
          <m:sup>
            <m:r>
              <m:t>2</m:t>
            </m:r>
          </m:sup>
        </m:sSubSup>
      </m:oMath>
      <w:r>
        <w:t xml:space="preserve"> </w:t>
      </w:r>
      <w:r>
        <w:t xml:space="preserve">be the unbiased sample variance of e in N iid units. Theorem 4 of Maurer and Pontil (2009) applies to variables in [0,1]. Rescale by</w:t>
      </w:r>
      <w:r>
        <w:t xml:space="preserve"> </w:t>
      </w:r>
      <m:oMath>
        <m:r>
          <m:t>Y</m:t>
        </m:r>
        <m:r>
          <m:rPr>
            <m:sty m:val="p"/>
          </m:rPr>
          <m:t>=</m:t>
        </m:r>
        <m:r>
          <m:rPr>
            <m:sty m:val="p"/>
          </m:rPr>
          <m:t>(</m:t>
        </m:r>
        <m:r>
          <m:t>e</m:t>
        </m:r>
        <m:r>
          <m:rPr>
            <m:sty m:val="p"/>
          </m:rPr>
          <m:t>+</m:t>
        </m:r>
        <m:r>
          <m:t>1</m:t>
        </m:r>
        <m:r>
          <m:rPr>
            <m:sty m:val="p"/>
          </m:rPr>
          <m:t>)</m:t>
        </m:r>
        <m:r>
          <m:rPr>
            <m:sty m:val="p"/>
          </m:rPr>
          <m:t>/</m:t>
        </m:r>
        <m:r>
          <m:t>2</m:t>
        </m:r>
      </m:oMath>
      <w:r>
        <w:t xml:space="preserve">, use both tails, and allocate total error</w:t>
      </w:r>
      <w:r>
        <w:t xml:space="preserve"> </w:t>
      </w:r>
      <m:oMath>
        <m:r>
          <m:t>α</m:t>
        </m:r>
      </m:oMath>
      <w:r>
        <w:t xml:space="preserve"> </w:t>
      </w:r>
      <w:r>
        <w:t xml:space="preserve">over K specified targets. A simultaneous interval for each mean is its sample mean plus/minus</w:t>
      </w:r>
    </w:p>
    <w:p>
      <w:pPr>
        <w:pStyle w:val="BodyText"/>
      </w:pPr>
      <m:oMathPara>
        <m:oMathParaPr>
          <m:jc m:val="center"/>
        </m:oMathParaPr>
        <m:oMath>
          <m:sSub>
            <m:e>
              <m:r>
                <m:t>r</m:t>
              </m:r>
            </m:e>
            <m:sub>
              <m:r>
                <m:t>N</m:t>
              </m:r>
            </m:sub>
          </m:sSub>
          <m:r>
            <m:rPr>
              <m:sty m:val="p"/>
            </m:rPr>
            <m:t>=</m:t>
          </m:r>
          <m:rad>
            <m:radPr>
              <m:degHide m:val="on"/>
            </m:radPr>
            <m:deg/>
            <m:e>
              <m:f>
                <m:fPr>
                  <m:type m:val="bar"/>
                </m:fPr>
                <m:num>
                  <m:r>
                    <m:t>2</m:t>
                  </m:r>
                  <m:sSubSup>
                    <m:e>
                      <m:r>
                        <m:t>s</m:t>
                      </m:r>
                    </m:e>
                    <m:sub>
                      <m:r>
                        <m:t>a</m:t>
                      </m:r>
                    </m:sub>
                    <m:sup>
                      <m:r>
                        <m:t>2</m:t>
                      </m:r>
                    </m:sup>
                  </m:sSubSup>
                  <m:r>
                    <m:rPr>
                      <m:sty m:val="p"/>
                      <m:nor m:val="1"/>
                    </m:rPr>
                    <w:rPr>
                      <w:i w:val="0"/>
                    </w:rPr>
                    <m:t>log</m:t>
                  </m:r>
                  <m:r>
                    <m:rPr>
                      <m:sty m:val="p"/>
                    </m:rPr>
                    <m:t>(</m:t>
                  </m:r>
                  <m:r>
                    <m:t>4</m:t>
                  </m:r>
                  <m:r>
                    <m:t>K</m:t>
                  </m:r>
                  <m:r>
                    <m:rPr>
                      <m:sty m:val="p"/>
                    </m:rPr>
                    <m:t>/</m:t>
                  </m:r>
                  <m:r>
                    <m:t>α</m:t>
                  </m:r>
                  <m:r>
                    <m:rPr>
                      <m:sty m:val="p"/>
                    </m:rPr>
                    <m:t>)</m:t>
                  </m:r>
                </m:num>
                <m:den>
                  <m:r>
                    <m:t>N</m:t>
                  </m:r>
                </m:den>
              </m:f>
            </m:e>
          </m:rad>
          <m:r>
            <m:rPr>
              <m:sty m:val="p"/>
            </m:rPr>
            <m:t>+</m:t>
          </m:r>
          <m:f>
            <m:fPr>
              <m:type m:val="bar"/>
            </m:fPr>
            <m:num>
              <m:r>
                <m:t>14</m:t>
              </m:r>
              <m:r>
                <m:rPr>
                  <m:sty m:val="p"/>
                  <m:nor m:val="1"/>
                </m:rPr>
                <w:rPr>
                  <w:i w:val="0"/>
                </w:rPr>
                <m:t>log</m:t>
              </m:r>
              <m:r>
                <m:rPr>
                  <m:sty m:val="p"/>
                </m:rPr>
                <m:t>(</m:t>
              </m:r>
              <m:r>
                <m:t>4</m:t>
              </m:r>
              <m:r>
                <m:t>K</m:t>
              </m:r>
              <m:r>
                <m:rPr>
                  <m:sty m:val="p"/>
                </m:rPr>
                <m:t>/</m:t>
              </m:r>
              <m:r>
                <m:t>α</m:t>
              </m:r>
              <m:r>
                <m:rPr>
                  <m:sty m:val="p"/>
                </m:rPr>
                <m:t>)</m:t>
              </m:r>
            </m:num>
            <m:den>
              <m:r>
                <m:t>3</m:t>
              </m:r>
              <m:r>
                <m:rPr>
                  <m:sty m:val="p"/>
                </m:rPr>
                <m:t>(</m:t>
              </m:r>
              <m:r>
                <m:t>N</m:t>
              </m:r>
              <m:r>
                <m:rPr>
                  <m:sty m:val="p"/>
                </m:rPr>
                <m:t>−</m:t>
              </m:r>
              <m:r>
                <m:t>1</m:t>
              </m:r>
              <m:r>
                <m:rPr>
                  <m:sty m:val="p"/>
                </m:rPr>
                <m:t>)</m:t>
              </m:r>
            </m:den>
          </m:f>
          <m:r>
            <m:rPr>
              <m:sty m:val="p"/>
            </m:rPr>
            <m:t>.</m:t>
          </m:r>
        </m:oMath>
      </m:oMathPara>
    </w:p>
    <w:p>
      <w:pPr>
        <w:pStyle w:val="FirstParagraph"/>
      </w:pPr>
      <w:r>
        <w:rPr>
          <w:b/>
          <w:bCs/>
        </w:rPr>
        <w:t xml:space="preserve">Derivation.</w:t>
      </w:r>
      <w:r>
        <w:t xml:space="preserve"> </w:t>
      </w:r>
      <w:r>
        <w:t xml:space="preserve">The theorem’s one-tail bound is</w:t>
      </w:r>
      <w:r>
        <w:t xml:space="preserve"> </w:t>
      </w:r>
      <m:oMath>
        <m:rad>
          <m:radPr>
            <m:degHide m:val="on"/>
          </m:radPr>
          <m:deg/>
          <m:e>
            <m:r>
              <m:t>2</m:t>
            </m:r>
            <m:sSub>
              <m:e>
                <m:r>
                  <m:t>V</m:t>
                </m:r>
              </m:e>
              <m:sub>
                <m:r>
                  <m:t>N</m:t>
                </m:r>
              </m:sub>
            </m:sSub>
            <m:r>
              <m:rPr>
                <m:sty m:val="p"/>
                <m:nor m:val="1"/>
              </m:rPr>
              <w:rPr>
                <w:i w:val="0"/>
              </w:rPr>
              <m:t>log</m:t>
            </m:r>
            <m:r>
              <m:rPr>
                <m:sty m:val="p"/>
              </m:rPr>
              <m:t>(</m:t>
            </m:r>
            <m:r>
              <m:t>2</m:t>
            </m:r>
            <m:r>
              <m:rPr>
                <m:sty m:val="p"/>
              </m:rPr>
              <m:t>/</m:t>
            </m:r>
            <m:r>
              <m:t>δ</m:t>
            </m:r>
            <m:r>
              <m:rPr>
                <m:sty m:val="p"/>
              </m:rPr>
              <m:t>)</m:t>
            </m:r>
            <m:r>
              <m:rPr>
                <m:sty m:val="p"/>
              </m:rPr>
              <m:t>/</m:t>
            </m:r>
            <m:r>
              <m:t>N</m:t>
            </m:r>
          </m:e>
        </m:rad>
        <m:r>
          <m:rPr>
            <m:sty m:val="p"/>
          </m:rPr>
          <m:t>+</m:t>
        </m:r>
        <m:r>
          <m:t>7</m:t>
        </m:r>
        <m:r>
          <m:rPr>
            <m:sty m:val="p"/>
            <m:nor m:val="1"/>
          </m:rPr>
          <w:rPr>
            <w:i w:val="0"/>
          </w:rPr>
          <m:t>log</m:t>
        </m:r>
        <m:r>
          <m:rPr>
            <m:sty m:val="p"/>
          </m:rPr>
          <m:t>(</m:t>
        </m:r>
        <m:r>
          <m:t>2</m:t>
        </m:r>
        <m:r>
          <m:rPr>
            <m:sty m:val="p"/>
          </m:rPr>
          <m:t>/</m:t>
        </m:r>
        <m:r>
          <m:t>δ</m:t>
        </m:r>
        <m:r>
          <m:rPr>
            <m:sty m:val="p"/>
          </m:rPr>
          <m:t>)</m:t>
        </m:r>
        <m:r>
          <m:rPr>
            <m:sty m:val="p"/>
          </m:rPr>
          <m:t>/</m:t>
        </m:r>
        <m:r>
          <m:rPr>
            <m:sty m:val="p"/>
          </m:rPr>
          <m:t>(</m:t>
        </m:r>
        <m:r>
          <m:t>3</m:t>
        </m:r>
        <m:r>
          <m:rPr>
            <m:sty m:val="p"/>
          </m:rPr>
          <m:t>(</m:t>
        </m:r>
        <m:r>
          <m:t>N</m:t>
        </m:r>
        <m:r>
          <m:rPr>
            <m:sty m:val="p"/>
          </m:rPr>
          <m:t>−</m:t>
        </m:r>
        <m:r>
          <m:t>1</m:t>
        </m:r>
        <m:r>
          <m:rPr>
            <m:sty m:val="p"/>
          </m:rPr>
          <m:t>)</m:t>
        </m:r>
        <m:r>
          <m:rPr>
            <m:sty m:val="p"/>
          </m:rPr>
          <m:t>)</m:t>
        </m:r>
      </m:oMath>
      <w:r>
        <w:t xml:space="preserve">. Set</w:t>
      </w:r>
      <w:r>
        <w:t xml:space="preserve"> </w:t>
      </w:r>
      <m:oMath>
        <m:r>
          <m:t>δ</m:t>
        </m:r>
        <m:r>
          <m:rPr>
            <m:sty m:val="p"/>
          </m:rPr>
          <m:t>=</m:t>
        </m:r>
        <m:r>
          <m:t>α</m:t>
        </m:r>
        <m:r>
          <m:rPr>
            <m:sty m:val="p"/>
          </m:rPr>
          <m:t>/</m:t>
        </m:r>
        <m:r>
          <m:rPr>
            <m:sty m:val="p"/>
          </m:rPr>
          <m:t>(</m:t>
        </m:r>
        <m:r>
          <m:t>2</m:t>
        </m:r>
        <m:r>
          <m:t>K</m:t>
        </m:r>
        <m:r>
          <m:rPr>
            <m:sty m:val="p"/>
          </m:rPr>
          <m:t>)</m:t>
        </m:r>
      </m:oMath>
      <w:r>
        <w:t xml:space="preserve">, note</w:t>
      </w:r>
      <w:r>
        <w:t xml:space="preserve"> </w:t>
      </w:r>
      <m:oMath>
        <m:sSub>
          <m:e>
            <m:r>
              <m:t>V</m:t>
            </m:r>
          </m:e>
          <m:sub>
            <m:r>
              <m:t>N</m:t>
            </m:r>
          </m:sub>
        </m:sSub>
        <m:r>
          <m:rPr>
            <m:sty m:val="p"/>
          </m:rPr>
          <m:t>(</m:t>
        </m:r>
        <m:r>
          <m:t>Y</m:t>
        </m:r>
        <m:r>
          <m:rPr>
            <m:sty m:val="p"/>
          </m:rPr>
          <m:t>)</m:t>
        </m:r>
        <m:r>
          <m:rPr>
            <m:sty m:val="p"/>
          </m:rPr>
          <m:t>=</m:t>
        </m:r>
        <m:sSubSup>
          <m:e>
            <m:r>
              <m:t>s</m:t>
            </m:r>
          </m:e>
          <m:sub>
            <m:r>
              <m:t>a</m:t>
            </m:r>
          </m:sub>
          <m:sup>
            <m:r>
              <m:t>2</m:t>
            </m:r>
          </m:sup>
        </m:sSubSup>
        <m:r>
          <m:rPr>
            <m:sty m:val="p"/>
          </m:rPr>
          <m:t>/</m:t>
        </m:r>
        <m:r>
          <m:t>4</m:t>
        </m:r>
      </m:oMath>
      <w:r>
        <w:t xml:space="preserve">, multiply by two to return to e, and union over the 2K events. No independence between targets is required. The iid assumption is within each model-unit sample; paired arms are used to form one e. The variance identity</w:t>
      </w:r>
      <w:r>
        <w:t xml:space="preserve"> </w:t>
      </w:r>
      <m:oMath>
        <m:sSub>
          <m:e>
            <m:r>
              <m:t>V</m:t>
            </m:r>
          </m:e>
          <m:sub>
            <m:r>
              <m:t>N</m:t>
            </m:r>
          </m:sub>
        </m:sSub>
        <m:r>
          <m:rPr>
            <m:sty m:val="p"/>
          </m:rPr>
          <m:t>=</m:t>
        </m:r>
        <m:sSup>
          <m:e>
            <m:r>
              <m:t>N</m:t>
            </m:r>
          </m:e>
          <m:sup>
            <m:r>
              <m:rPr>
                <m:sty m:val="p"/>
              </m:rPr>
              <m:t>−</m:t>
            </m:r>
            <m:r>
              <m:t>1</m:t>
            </m:r>
          </m:sup>
        </m:sSup>
        <m:sSup>
          <m:e>
            <m:r>
              <m:rPr>
                <m:sty m:val="p"/>
              </m:rPr>
              <m:t>(</m:t>
            </m:r>
            <m:r>
              <m:t>N</m:t>
            </m:r>
            <m:r>
              <m:rPr>
                <m:sty m:val="p"/>
              </m:rPr>
              <m:t>−</m:t>
            </m:r>
            <m:r>
              <m:t>1</m:t>
            </m:r>
            <m:r>
              <m:rPr>
                <m:sty m:val="p"/>
              </m:rPr>
              <m:t>)</m:t>
            </m:r>
          </m:e>
          <m:sup>
            <m:r>
              <m:rPr>
                <m:sty m:val="p"/>
              </m:rPr>
              <m:t>−</m:t>
            </m:r>
            <m:r>
              <m:t>1</m:t>
            </m:r>
          </m:sup>
        </m:sSup>
        <m:nary>
          <m:naryPr>
            <m:chr m:val="∑"/>
            <m:limLoc m:val="undOvr"/>
            <m:subHide m:val="off"/>
            <m:supHide m:val="on"/>
          </m:naryPr>
          <m:sub>
            <m:r>
              <m:t>i</m:t>
            </m:r>
            <m:r>
              <m:rPr>
                <m:sty m:val="p"/>
              </m:rPr>
              <m:t>&lt;</m:t>
            </m:r>
            <m:r>
              <m:t>j</m:t>
            </m:r>
          </m:sub>
          <m:sup>
            <m:r>
              <m:t>​</m:t>
            </m:r>
          </m:sup>
          <m:e>
            <m:sSup>
              <m:e>
                <m:r>
                  <m:rPr>
                    <m:sty m:val="p"/>
                  </m:rPr>
                  <m:t>(</m:t>
                </m:r>
                <m:sSub>
                  <m:e>
                    <m:r>
                      <m:t>Y</m:t>
                    </m:r>
                  </m:e>
                  <m:sub>
                    <m:r>
                      <m:t>i</m:t>
                    </m:r>
                  </m:sub>
                </m:sSub>
                <m:r>
                  <m:rPr>
                    <m:sty m:val="p"/>
                  </m:rPr>
                  <m:t>−</m:t>
                </m:r>
                <m:sSub>
                  <m:e>
                    <m:r>
                      <m:t>Y</m:t>
                    </m:r>
                  </m:e>
                  <m:sub>
                    <m:r>
                      <m:t>j</m:t>
                    </m:r>
                  </m:sub>
                </m:sSub>
                <m:r>
                  <m:rPr>
                    <m:sty m:val="p"/>
                  </m:rPr>
                  <m:t>)</m:t>
                </m:r>
              </m:e>
              <m:sup>
                <m:r>
                  <m:t>2</m:t>
                </m:r>
              </m:sup>
            </m:sSup>
          </m:e>
        </m:nary>
      </m:oMath>
      <w:r>
        <w:t xml:space="preserve"> </w:t>
      </w:r>
      <w:r>
        <w:t xml:space="preserve">equals the usual unbiased variance. Numerical rounding is not covered by the sampling theorem.</w:t>
      </w:r>
    </w:p>
    <w:p>
      <w:pPr>
        <w:pStyle w:val="BodyText"/>
      </w:pPr>
      <w:r>
        <w:t xml:space="preserve">For K=6 and alpha=0.05, all four intervals at N=20,000 exclude zero. The two eight-qubit intervals at N=1,000 do not. Full normal, Hoeffding and Bernstein intervals are in</w:t>
      </w:r>
      <w:r>
        <w:t xml:space="preserve"> </w:t>
      </w:r>
      <w:r>
        <w:rPr>
          <w:rStyle w:val="VerbatimChar"/>
        </w:rPr>
        <w:t xml:space="preserve">data/factorial_analysis/factorial_intervals.csv</w:t>
      </w:r>
      <w:r>
        <w:t xml:space="preserve">. The method was chosen during review; this is not an external preregistration or a claim that arbitrary post hoc selections retain coverage.</w:t>
      </w:r>
    </w:p>
    <w:bookmarkEnd w:id="33"/>
    <w:bookmarkStart w:id="34" w:name="s4.3-important-interpretation-checks"/>
    <w:p>
      <w:pPr>
        <w:pStyle w:val="Heading3"/>
      </w:pPr>
      <w:r>
        <w:t xml:space="preserve">S4.3 Important interpretation checks</w:t>
      </w:r>
    </w:p>
    <w:p>
      <w:pPr>
        <w:pStyle w:val="FirstParagraph"/>
      </w:pPr>
      <w:r>
        <w:t xml:space="preserve">The original negative change relative to frozen dynamics and the positive Hamiltonian-intervention contrast concern different counterfactuals. Neither invalidates the other. Isospectrality preserves the energy eigenvalues, not the initial energy distribution or all resources relative to the fixed input. The third-frame comparator is an additional sampled intervention, not a certified link-only control. A Lieb-Robinson bound is not a sign theorem for e. Regression on an initial gap must account for the gap’s explicit minus-one-half contribution to z.</w:t>
      </w:r>
    </w:p>
    <w:p>
      <w:pPr>
        <w:pStyle w:val="BodyText"/>
      </w:pPr>
      <w:r>
        <w:rPr>
          <w:b/>
          <w:bCs/>
        </w:rPr>
        <w:t xml:space="preserve">Reproduction commands, from the extracted release root</w:t>
      </w:r>
    </w:p>
    <w:p>
      <w:pPr>
        <w:pStyle w:val="SourceCode"/>
      </w:pPr>
      <w:r>
        <w:rPr>
          <w:rStyle w:val="VerbatimChar"/>
        </w:rPr>
        <w:t xml:space="preserve">OPENBLAS_NUM_THREADS=1 OMP_NUM_THREADS=1 python code/replay_reviewer.py --root . --out /path/to/fresh_reviewer_replay --task all</w:t>
      </w:r>
      <w:r>
        <w:br/>
      </w:r>
      <w:r>
        <w:rPr>
          <w:rStyle w:val="VerbatimChar"/>
        </w:rPr>
        <w:t xml:space="preserve">python code/analyze_factorial.py --root . --out /path/to/fresh_factorial_analysis</w:t>
      </w:r>
      <w:r>
        <w:br/>
      </w:r>
      <w:r>
        <w:rPr>
          <w:rStyle w:val="VerbatimChar"/>
        </w:rPr>
        <w:t xml:space="preserve">OPENBLAS_NUM_THREADS=1 python code/validate_factorial.py --root . --out /path/to/fresh_factorial_checks.json</w:t>
      </w:r>
    </w:p>
    <w:p>
      <w:pPr>
        <w:pStyle w:val="FirstParagraph"/>
      </w:pPr>
      <w:r>
        <w:t xml:space="preserve">The analysis reads the delivered</w:t>
      </w:r>
      <w:r>
        <w:t xml:space="preserve"> </w:t>
      </w:r>
      <w:r>
        <w:rPr>
          <w:rStyle w:val="VerbatimChar"/>
        </w:rPr>
        <w:t xml:space="preserve">data/reviewer_replay</w:t>
      </w:r>
      <w:r>
        <w:t xml:space="preserve"> </w:t>
      </w:r>
      <w:r>
        <w:t xml:space="preserve">by default. To analyse a replay, use a separate copy with the fresh replay at that relative location. Do not overwrite the delivered evidence. The README records exact environment and tool versions; portability to an arbitrary numerical environment is not assumed. All original scripts can also be run directly in a copied input folder, with the single-thread setting stated by their author.</w:t>
      </w:r>
    </w:p>
    <w:bookmarkEnd w:id="34"/>
    <w:bookmarkEnd w:id="35"/>
    <w:bookmarkStart w:id="43" w:name="s5.-historical-execution-and-provenance"/>
    <w:p>
      <w:pPr>
        <w:pStyle w:val="Heading2"/>
      </w:pPr>
      <w:r>
        <w:t xml:space="preserve">S5. Historical execution and provenance</w:t>
      </w:r>
    </w:p>
    <w:p>
      <w:pPr>
        <w:pStyle w:val="FirstParagraph"/>
      </w:pPr>
      <w:r>
        <w:t xml:space="preserve">The following subsections preserve the earlier account, with their historical dates and sample sizes. These are not fresh counts of independent physical experiments.</w:t>
      </w:r>
    </w:p>
    <w:bookmarkStart w:id="36" w:name="s5.1-scope"/>
    <w:p>
      <w:pPr>
        <w:pStyle w:val="Heading3"/>
      </w:pPr>
      <w:r>
        <w:t xml:space="preserve">S5.1 Scope</w:t>
      </w:r>
    </w:p>
    <w:p>
      <w:pPr>
        <w:pStyle w:val="FirstParagraph"/>
      </w:pPr>
      <w:r>
        <w:t xml:space="preserve">This is supporting material for</w:t>
      </w:r>
      <w:r>
        <w:t xml:space="preserve"> </w:t>
      </w:r>
      <w:r>
        <w:rPr>
          <w:i/>
          <w:iCs/>
        </w:rPr>
        <w:t xml:space="preserve">Frame-Aligned Records</w:t>
      </w:r>
      <w:r>
        <w:t xml:space="preserve">, review manuscript v0.5, not an independent research paper. It records new executions, supplied-script reproduction, prior reported results and what was not done. The original LRA population study remains unexecuted. A separately defined source-off feasibility pilot, P01-ID1, has now run; see the dedicated results log and protocol. It is not silently relabelled as the original study. No participant data, cosmological likelihood fit or unrestricted subsystem search was analysed. The mathematical propositions are assessed through their proofs; numerical checks are finite safeguards, not universal demonstrations.</w:t>
      </w:r>
    </w:p>
    <w:p>
      <w:pPr>
        <w:pStyle w:val="BodyText"/>
        <w:keepNext/>
      </w:pPr>
      <w:r>
        <w:rPr>
          <w:b/>
          <w:bCs/>
        </w:rPr>
        <w:t xml:space="preserve">Table S1. Execution levels must remain separate</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Layer</w:t>
            </w:r>
          </w:p>
        </w:tc>
        <w:tc>
          <w:tcPr>
            <w:shd w:fill="EAF0F4"/>
            <w:tcW w:type="dxa" w:w="3834"/>
            <w:vAlign w:val="top"/>
          </w:tcPr>
          <w:p>
            <w:pPr>
              <w:pStyle w:val="Compact"/>
              <w:spacing w:after="60" w:line="240" w:lineRule="auto"/>
              <w:jc w:val="left"/>
            </w:pPr>
            <w:r>
              <w:rPr>
                <w:rFonts w:ascii="Carlito" w:hAnsi="Carlito"/>
                <w:b/>
                <w:sz w:val="18"/>
              </w:rPr>
              <w:t xml:space="preserve">Work done in v1.6</w:t>
            </w:r>
          </w:p>
        </w:tc>
        <w:tc>
          <w:tcPr>
            <w:shd w:fill="EAF0F4"/>
            <w:tcW w:type="dxa" w:w="3539"/>
            <w:vAlign w:val="top"/>
          </w:tcPr>
          <w:p>
            <w:pPr>
              <w:pStyle w:val="Compact"/>
              <w:spacing w:after="60" w:line="240" w:lineRule="auto"/>
              <w:jc w:val="left"/>
            </w:pPr>
            <w:r>
              <w:rPr>
                <w:rFonts w:ascii="Carlito" w:hAnsi="Carlito"/>
                <w:b/>
                <w:sz w:val="18"/>
              </w:rPr>
              <w:t xml:space="preserve">Limit</w:t>
            </w:r>
          </w:p>
        </w:tc>
      </w:tr>
      <w:tr>
        <w:trPr>
          <w:cantSplit/>
        </w:trPr>
        <w:tc>
          <w:tcPr>
            <w:tcW w:type="dxa" w:w="2458"/>
            <w:vAlign w:val="top"/>
          </w:tcPr>
          <w:p>
            <w:pPr>
              <w:pStyle w:val="Compact"/>
              <w:spacing w:after="60" w:line="240" w:lineRule="auto"/>
              <w:jc w:val="left"/>
            </w:pPr>
            <w:r>
              <w:rPr>
                <w:rFonts w:ascii="Carlito" w:hAnsi="Carlito"/>
                <w:sz w:val="18"/>
              </w:rPr>
              <w:t xml:space="preserve">Supplied post-v1.5 Claude audit</w:t>
            </w:r>
          </w:p>
        </w:tc>
        <w:tc>
          <w:tcPr>
            <w:tcW w:type="dxa" w:w="3834"/>
            <w:vAlign w:val="top"/>
          </w:tcPr>
          <w:p>
            <w:pPr>
              <w:pStyle w:val="Compact"/>
              <w:spacing w:after="60" w:line="240" w:lineRule="auto"/>
              <w:jc w:val="left"/>
            </w:pPr>
            <w:r>
              <w:rPr>
                <w:rFonts w:ascii="Carlito" w:hAnsi="Carlito"/>
                <w:sz w:val="18"/>
              </w:rPr>
              <w:t xml:space="preserve">Executed both numerical scripts in a fresh directory and compared their two JSON outputs</w:t>
            </w:r>
          </w:p>
        </w:tc>
        <w:tc>
          <w:tcPr>
            <w:tcW w:type="dxa" w:w="3539"/>
            <w:vAlign w:val="top"/>
          </w:tcPr>
          <w:p>
            <w:pPr>
              <w:pStyle w:val="Compact"/>
              <w:spacing w:after="60" w:line="240" w:lineRule="auto"/>
              <w:jc w:val="left"/>
            </w:pPr>
            <w:r>
              <w:rPr>
                <w:rFonts w:ascii="Carlito" w:hAnsi="Carlito"/>
                <w:sz w:val="18"/>
              </w:rPr>
              <w:t xml:space="preserve">Same-code replay, not a new external implementation</w:t>
            </w:r>
          </w:p>
        </w:tc>
      </w:tr>
      <w:tr>
        <w:trPr>
          <w:cantSplit/>
        </w:trPr>
        <w:tc>
          <w:tcPr>
            <w:tcW w:type="dxa" w:w="2458"/>
            <w:vAlign w:val="top"/>
          </w:tcPr>
          <w:p>
            <w:pPr>
              <w:pStyle w:val="Compact"/>
              <w:spacing w:after="60" w:line="240" w:lineRule="auto"/>
              <w:jc w:val="left"/>
            </w:pPr>
            <w:r>
              <w:rPr>
                <w:rFonts w:ascii="Carlito" w:hAnsi="Carlito"/>
                <w:sz w:val="18"/>
              </w:rPr>
              <w:t xml:space="preserve">New CAL-1.6 suite</w:t>
            </w:r>
          </w:p>
        </w:tc>
        <w:tc>
          <w:tcPr>
            <w:tcW w:type="dxa" w:w="3834"/>
            <w:vAlign w:val="top"/>
          </w:tcPr>
          <w:p>
            <w:pPr>
              <w:pStyle w:val="Compact"/>
              <w:spacing w:after="60" w:line="240" w:lineRule="auto"/>
              <w:jc w:val="left"/>
            </w:pPr>
            <w:r>
              <w:rPr>
                <w:rFonts w:ascii="Carlito" w:hAnsi="Carlito"/>
                <w:sz w:val="18"/>
              </w:rPr>
              <w:t xml:space="preserve">174 assertions, including random-case checks and exact small examples</w:t>
            </w:r>
          </w:p>
        </w:tc>
        <w:tc>
          <w:tcPr>
            <w:tcW w:type="dxa" w:w="3539"/>
            <w:vAlign w:val="top"/>
          </w:tcPr>
          <w:p>
            <w:pPr>
              <w:pStyle w:val="Compact"/>
              <w:spacing w:after="60" w:line="240" w:lineRule="auto"/>
              <w:jc w:val="left"/>
            </w:pPr>
            <w:r>
              <w:rPr>
                <w:rFonts w:ascii="Carlito" w:hAnsi="Carlito"/>
                <w:sz w:val="18"/>
              </w:rPr>
              <w:t xml:space="preserve">Related assertions, not 174 independent experiments</w:t>
            </w:r>
          </w:p>
        </w:tc>
      </w:tr>
      <w:tr>
        <w:trPr>
          <w:cantSplit/>
        </w:trPr>
        <w:tc>
          <w:tcPr>
            <w:tcW w:type="dxa" w:w="2458"/>
            <w:vAlign w:val="top"/>
          </w:tcPr>
          <w:p>
            <w:pPr>
              <w:pStyle w:val="Compact"/>
              <w:spacing w:after="60" w:line="240" w:lineRule="auto"/>
              <w:jc w:val="left"/>
            </w:pPr>
            <w:r>
              <w:rPr>
                <w:rFonts w:ascii="Carlito" w:hAnsi="Carlito"/>
                <w:sz w:val="18"/>
              </w:rPr>
              <w:t xml:space="preserve">Separate CAL-1.6 checker</w:t>
            </w:r>
          </w:p>
        </w:tc>
        <w:tc>
          <w:tcPr>
            <w:tcW w:type="dxa" w:w="3834"/>
            <w:vAlign w:val="top"/>
          </w:tcPr>
          <w:p>
            <w:pPr>
              <w:pStyle w:val="Compact"/>
              <w:spacing w:after="60" w:line="240" w:lineRule="auto"/>
              <w:jc w:val="left"/>
            </w:pPr>
            <w:r>
              <w:rPr>
                <w:rFonts w:ascii="Carlito" w:hAnsi="Carlito"/>
                <w:sz w:val="18"/>
              </w:rPr>
              <w:t xml:space="preserve">46 checks using independent small formulas and enumeration; does not import the main script</w:t>
            </w:r>
          </w:p>
        </w:tc>
        <w:tc>
          <w:tcPr>
            <w:tcW w:type="dxa" w:w="3539"/>
            <w:vAlign w:val="top"/>
          </w:tcPr>
          <w:p>
            <w:pPr>
              <w:pStyle w:val="Compact"/>
              <w:spacing w:after="60" w:line="240" w:lineRule="auto"/>
              <w:jc w:val="left"/>
            </w:pPr>
            <w:r>
              <w:rPr>
                <w:rFonts w:ascii="Carlito" w:hAnsi="Carlito"/>
                <w:sz w:val="18"/>
              </w:rPr>
              <w:t xml:space="preserve">Same-project second implementation, not external scientific replication</w:t>
            </w:r>
          </w:p>
        </w:tc>
      </w:tr>
      <w:tr>
        <w:trPr>
          <w:cantSplit/>
        </w:trPr>
        <w:tc>
          <w:tcPr>
            <w:tcW w:type="dxa" w:w="2458"/>
            <w:vAlign w:val="top"/>
          </w:tcPr>
          <w:p>
            <w:pPr>
              <w:pStyle w:val="Compact"/>
              <w:spacing w:after="60" w:line="240" w:lineRule="auto"/>
              <w:jc w:val="left"/>
            </w:pPr>
            <w:r>
              <w:rPr>
                <w:rFonts w:ascii="Carlito" w:hAnsi="Carlito"/>
                <w:sz w:val="18"/>
              </w:rPr>
              <w:t xml:space="preserve">Prior v1.5 results</w:t>
            </w:r>
          </w:p>
        </w:tc>
        <w:tc>
          <w:tcPr>
            <w:tcW w:type="dxa" w:w="3834"/>
            <w:vAlign w:val="top"/>
          </w:tcPr>
          <w:p>
            <w:pPr>
              <w:pStyle w:val="Compact"/>
              <w:spacing w:after="60" w:line="240" w:lineRule="auto"/>
              <w:jc w:val="left"/>
            </w:pPr>
            <w:r>
              <w:rPr>
                <w:rFonts w:ascii="Carlito" w:hAnsi="Carlito"/>
                <w:sz w:val="18"/>
              </w:rPr>
              <w:t xml:space="preserve">Preserved unchanged with source files and historical reports</w:t>
            </w:r>
          </w:p>
        </w:tc>
        <w:tc>
          <w:tcPr>
            <w:tcW w:type="dxa" w:w="3539"/>
            <w:vAlign w:val="top"/>
          </w:tcPr>
          <w:p>
            <w:pPr>
              <w:pStyle w:val="Compact"/>
              <w:spacing w:after="60" w:line="240" w:lineRule="auto"/>
              <w:jc w:val="left"/>
            </w:pPr>
            <w:r>
              <w:rPr>
                <w:rFonts w:ascii="Carlito" w:hAnsi="Carlito"/>
                <w:sz w:val="18"/>
              </w:rPr>
              <w:t xml:space="preserve">Its large historical assertion counts are not fresh v1.6 executions</w:t>
            </w:r>
          </w:p>
        </w:tc>
      </w:tr>
      <w:tr>
        <w:trPr>
          <w:cantSplit/>
        </w:trPr>
        <w:tc>
          <w:tcPr>
            <w:tcW w:type="dxa" w:w="2458"/>
            <w:vAlign w:val="top"/>
          </w:tcPr>
          <w:p>
            <w:pPr>
              <w:pStyle w:val="Compact"/>
              <w:spacing w:after="60" w:line="240" w:lineRule="auto"/>
              <w:jc w:val="left"/>
            </w:pPr>
            <w:r>
              <w:rPr>
                <w:rFonts w:ascii="Carlito" w:hAnsi="Carlito"/>
                <w:sz w:val="18"/>
              </w:rPr>
              <w:t xml:space="preserve">Proposed LRA-count experiment</w:t>
            </w:r>
          </w:p>
        </w:tc>
        <w:tc>
          <w:tcPr>
            <w:tcW w:type="dxa" w:w="3834"/>
            <w:vAlign w:val="top"/>
          </w:tcPr>
          <w:p>
            <w:pPr>
              <w:pStyle w:val="Compact"/>
              <w:spacing w:after="60" w:line="240" w:lineRule="auto"/>
              <w:jc w:val="left"/>
            </w:pPr>
            <w:r>
              <w:rPr>
                <w:rFonts w:ascii="Carlito" w:hAnsi="Carlito"/>
                <w:sz w:val="18"/>
              </w:rPr>
              <w:t xml:space="preserve">Specification and uncertainty handling revised</w:t>
            </w:r>
          </w:p>
        </w:tc>
        <w:tc>
          <w:tcPr>
            <w:tcW w:type="dxa" w:w="3539"/>
            <w:vAlign w:val="top"/>
          </w:tcPr>
          <w:p>
            <w:pPr>
              <w:pStyle w:val="Compact"/>
              <w:spacing w:after="60" w:line="240" w:lineRule="auto"/>
              <w:jc w:val="left"/>
            </w:pPr>
            <w:r>
              <w:rPr>
                <w:rFonts w:ascii="Carlito" w:hAnsi="Carlito"/>
                <w:sz w:val="18"/>
              </w:rPr>
              <w:t xml:space="preserve">Not run, registered or scientifically confirmed</w:t>
            </w:r>
          </w:p>
        </w:tc>
      </w:tr>
    </w:tbl>
    <w:bookmarkEnd w:id="36"/>
    <w:bookmarkStart w:id="37" w:name="s5.2-replay-of-the-supplied-audit"/>
    <w:p>
      <w:pPr>
        <w:pStyle w:val="Heading3"/>
      </w:pPr>
      <w:r>
        <w:t xml:space="preserve">S5.2 Replay of the supplied audit</w:t>
      </w:r>
    </w:p>
    <w:p>
      <w:pPr>
        <w:pStyle w:val="FirstParagraph"/>
      </w:pPr>
      <w:r>
        <w:t xml:space="preserve">The exact delivered audit scripts are retained under</w:t>
      </w:r>
      <w:r>
        <w:t xml:space="preserve"> </w:t>
      </w:r>
      <w:r>
        <w:rPr>
          <w:rStyle w:val="VerbatimChar"/>
        </w:rPr>
        <w:t xml:space="preserve">historical/supporting_lineage/v1_6_code/supplied_claude_audit/</w:t>
      </w:r>
      <w:r>
        <w:t xml:space="preserve">. Both ran successfully from an initially empty output directory.</w:t>
      </w:r>
      <w:r>
        <w:t xml:space="preserve"> </w:t>
      </w:r>
      <w:r>
        <w:rPr>
          <w:rStyle w:val="VerbatimChar"/>
        </w:rPr>
        <w:t xml:space="preserve">v15_independent_checks.py</w:t>
      </w:r>
      <w:r>
        <w:t xml:space="preserve"> </w:t>
      </w:r>
      <w:r>
        <w:t xml:space="preserve">took about 43 seconds and</w:t>
      </w:r>
      <w:r>
        <w:t xml:space="preserve"> </w:t>
      </w:r>
      <w:r>
        <w:rPr>
          <w:rStyle w:val="VerbatimChar"/>
        </w:rPr>
        <w:t xml:space="preserve">coupling_dominance.py</w:t>
      </w:r>
      <w:r>
        <w:t xml:space="preserve"> </w:t>
      </w:r>
      <w:r>
        <w:t xml:space="preserve">about 2 seconds in this environment. Runtime is descriptive, not a portable performance promise. Captured output and environment differences are recorded in</w:t>
      </w:r>
      <w:r>
        <w:t xml:space="preserve"> </w:t>
      </w:r>
      <w:r>
        <w:rPr>
          <w:rStyle w:val="VerbatimChar"/>
        </w:rPr>
        <w:t xml:space="preserve">historical/supporting_lineage/v1_6_verification/claude_replay/</w:t>
      </w:r>
      <w:r>
        <w:t xml:space="preserve">.</w:t>
      </w:r>
    </w:p>
    <w:p>
      <w:pPr>
        <w:pStyle w:val="BodyText"/>
      </w:pPr>
      <w:r>
        <w:t xml:space="preserve">Recursive comparisons of dictionaries, lists and numerical leaves found agreement with both supplied JSON outputs using relative tolerance</w:t>
      </w:r>
      <w:r>
        <w:t xml:space="preserve"> </w:t>
      </w:r>
      <m:oMath>
        <m:sSup>
          <m:e>
            <m:r>
              <m:t>10</m:t>
            </m:r>
          </m:e>
          <m:sup>
            <m:r>
              <m:rPr>
                <m:sty m:val="p"/>
              </m:rPr>
              <m:t>−</m:t>
            </m:r>
            <m:r>
              <m:t>8</m:t>
            </m:r>
          </m:sup>
        </m:sSup>
      </m:oMath>
      <w:r>
        <w:t xml:space="preserve"> </w:t>
      </w:r>
      <w:r>
        <w:t xml:space="preserve">and absolute tolerance</w:t>
      </w:r>
      <w:r>
        <w:t xml:space="preserve"> </w:t>
      </w:r>
      <m:oMath>
        <m:sSup>
          <m:e>
            <m:r>
              <m:t>10</m:t>
            </m:r>
          </m:e>
          <m:sup>
            <m:r>
              <m:rPr>
                <m:sty m:val="p"/>
              </m:rPr>
              <m:t>−</m:t>
            </m:r>
            <m:r>
              <m:t>10</m:t>
            </m:r>
          </m:sup>
        </m:sSup>
      </m:oMath>
      <w:r>
        <w:t xml:space="preserve">. Key sets and list lengths must agree; timing and unrelated files are not used to infer numerical correctness. The comparison report is</w:t>
      </w:r>
      <w:r>
        <w:t xml:space="preserve"> </w:t>
      </w:r>
      <w:r>
        <w:rPr>
          <w:rStyle w:val="VerbatimChar"/>
        </w:rPr>
        <w:t xml:space="preserve">historical/supporting_lineage/v1_6_verification/claude_replay_comparison.json</w:t>
      </w:r>
      <w:r>
        <w:t xml:space="preserve">.</w:t>
      </w:r>
    </w:p>
    <w:p>
      <w:pPr>
        <w:pStyle w:val="BodyText"/>
      </w:pPr>
      <w:r>
        <w:t xml:space="preserve">The replay includes the supplied exact four-label counterexample, mixed twirl, gauge invariances, local-persistence example, symbolic examples and the reported permutation Monte Carlo. For 30 units, the displayed derangement rejection estimate is approximately 0.060 at a nominal 0.05 threshold; that is a finite Monte Carlo estimate with sampling uncertainty, not an exact universal size. The exact four-label example separately establishes a failure of the proposed general validity claim.</w:t>
      </w:r>
    </w:p>
    <w:p>
      <w:pPr>
        <w:pStyle w:val="BodyText"/>
      </w:pPr>
      <w:r>
        <w:t xml:space="preserve">The 9,000 perturbation checks all satisfy their bound within the script tolerance. Those are fragment-time checks across related models, not 9,000 independent experiments. They confirm the stated implementation of the inequality, not a theorem that coupling-frame records must maximize a locality-record score.</w:t>
      </w:r>
    </w:p>
    <w:bookmarkEnd w:id="37"/>
    <w:bookmarkStart w:id="38" w:name="Xbfce2add300ffc588a647deb8153e544bea395f"/>
    <w:p>
      <w:pPr>
        <w:pStyle w:val="Heading3"/>
      </w:pPr>
      <w:r>
        <w:t xml:space="preserve">S5.3 New suite and effective configuration</w:t>
      </w:r>
    </w:p>
    <w:p>
      <w:pPr>
        <w:pStyle w:val="FirstParagraph"/>
      </w:pPr>
      <w:r>
        <w:t xml:space="preserve">The new executable source is</w:t>
      </w:r>
      <w:r>
        <w:t xml:space="preserve"> </w:t>
      </w:r>
      <w:r>
        <w:rPr>
          <w:rStyle w:val="VerbatimChar"/>
        </w:rPr>
        <w:t xml:space="preserve">historical/supporting_lineage/v1_6_code/checks_v0_3_0.py</w:t>
      </w:r>
      <w:r>
        <w:t xml:space="preserve">. It accepts one complete JSON configuration, rejects missing or unused keys, checks numerical ranges, refuses a nonempty output directory, and writes the effective configuration and its canonical-JSON hash with every run. The version is CAL-1.6; the code version is 0.3.0. This is calibration code, not the future LRA experiment implementation.</w:t>
      </w:r>
    </w:p>
    <w:p>
      <w:pPr>
        <w:pStyle w:val="BodyText"/>
        <w:keepNext/>
      </w:pPr>
      <w:r>
        <w:rPr>
          <w:b/>
          <w:bCs/>
        </w:rPr>
        <w:t xml:space="preserve">Table S2. Complete new calibration configuration</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Field</w:t>
            </w:r>
          </w:p>
        </w:tc>
        <w:tc>
          <w:tcPr>
            <w:shd w:fill="EAF0F4"/>
            <w:tcW w:type="dxa" w:w="3834"/>
            <w:vAlign w:val="top"/>
          </w:tcPr>
          <w:p>
            <w:pPr>
              <w:pStyle w:val="Compact"/>
              <w:spacing w:after="60" w:line="240" w:lineRule="auto"/>
              <w:jc w:val="left"/>
            </w:pPr>
            <w:r>
              <w:rPr>
                <w:rFonts w:ascii="Carlito" w:hAnsi="Carlito"/>
                <w:b/>
                <w:sz w:val="18"/>
              </w:rPr>
              <w:t xml:space="preserve">Value</w:t>
            </w:r>
          </w:p>
        </w:tc>
        <w:tc>
          <w:tcPr>
            <w:shd w:fill="EAF0F4"/>
            <w:tcW w:type="dxa" w:w="3539"/>
            <w:vAlign w:val="top"/>
          </w:tcPr>
          <w:p>
            <w:pPr>
              <w:pStyle w:val="Compact"/>
              <w:spacing w:after="60" w:line="240" w:lineRule="auto"/>
              <w:jc w:val="left"/>
            </w:pPr>
            <w:r>
              <w:rPr>
                <w:rFonts w:ascii="Carlito" w:hAnsi="Carlito"/>
                <w:b/>
                <w:sz w:val="18"/>
              </w:rPr>
              <w:t xml:space="preserve">Use</w:t>
            </w:r>
          </w:p>
        </w:tc>
      </w:tr>
      <w:tr>
        <w:trPr>
          <w:cantSplit/>
        </w:trPr>
        <w:tc>
          <w:tcPr>
            <w:tcW w:type="dxa" w:w="2458"/>
            <w:vAlign w:val="top"/>
          </w:tcPr>
          <w:p>
            <w:pPr>
              <w:pStyle w:val="Compact"/>
              <w:spacing w:after="60" w:line="240" w:lineRule="auto"/>
              <w:jc w:val="left"/>
            </w:pPr>
            <w:r>
              <w:rPr>
                <w:rFonts w:ascii="Carlito" w:hAnsi="Carlito"/>
                <w:sz w:val="18"/>
              </w:rPr>
              <w:t xml:space="preserve">version</w:t>
            </w:r>
          </w:p>
        </w:tc>
        <w:tc>
          <w:tcPr>
            <w:tcW w:type="dxa" w:w="3834"/>
            <w:vAlign w:val="top"/>
          </w:tcPr>
          <w:p>
            <w:pPr>
              <w:pStyle w:val="Compact"/>
              <w:spacing w:after="60" w:line="240" w:lineRule="auto"/>
              <w:jc w:val="left"/>
            </w:pPr>
            <w:r>
              <w:rPr>
                <w:rFonts w:ascii="Carlito" w:hAnsi="Carlito"/>
                <w:sz w:val="18"/>
              </w:rPr>
              <w:t xml:space="preserve">CAL-1.6</w:t>
            </w:r>
          </w:p>
        </w:tc>
        <w:tc>
          <w:tcPr>
            <w:tcW w:type="dxa" w:w="3539"/>
            <w:vAlign w:val="top"/>
          </w:tcPr>
          <w:p>
            <w:pPr>
              <w:pStyle w:val="Compact"/>
              <w:spacing w:after="60" w:line="240" w:lineRule="auto"/>
              <w:jc w:val="left"/>
            </w:pPr>
            <w:r>
              <w:rPr>
                <w:rFonts w:ascii="Carlito" w:hAnsi="Carlito"/>
                <w:sz w:val="18"/>
              </w:rPr>
              <w:t xml:space="preserve">Validate scope</w:t>
            </w:r>
          </w:p>
        </w:tc>
      </w:tr>
      <w:tr>
        <w:trPr>
          <w:cantSplit/>
        </w:trPr>
        <w:tc>
          <w:tcPr>
            <w:tcW w:type="dxa" w:w="2458"/>
            <w:vAlign w:val="top"/>
          </w:tcPr>
          <w:p>
            <w:pPr>
              <w:pStyle w:val="Compact"/>
              <w:spacing w:after="60" w:line="240" w:lineRule="auto"/>
              <w:jc w:val="left"/>
            </w:pPr>
            <w:r>
              <w:rPr>
                <w:rFonts w:ascii="Carlito" w:hAnsi="Carlito"/>
                <w:sz w:val="18"/>
              </w:rPr>
              <w:t xml:space="preserve">seed</w:t>
            </w:r>
          </w:p>
        </w:tc>
        <w:tc>
          <w:tcPr>
            <w:tcW w:type="dxa" w:w="3834"/>
            <w:vAlign w:val="top"/>
          </w:tcPr>
          <w:p>
            <w:pPr>
              <w:pStyle w:val="Compact"/>
              <w:spacing w:after="60" w:line="240" w:lineRule="auto"/>
              <w:jc w:val="left"/>
            </w:pPr>
            <w:r>
              <w:rPr>
                <w:rFonts w:ascii="Carlito" w:hAnsi="Carlito"/>
                <w:sz w:val="18"/>
              </w:rPr>
              <w:t xml:space="preserve">20260926</w:t>
            </w:r>
          </w:p>
        </w:tc>
        <w:tc>
          <w:tcPr>
            <w:tcW w:type="dxa" w:w="3539"/>
            <w:vAlign w:val="top"/>
          </w:tcPr>
          <w:p>
            <w:pPr>
              <w:pStyle w:val="Compact"/>
              <w:spacing w:after="60" w:line="240" w:lineRule="auto"/>
              <w:jc w:val="left"/>
            </w:pPr>
            <w:r>
              <w:rPr>
                <w:rFonts w:ascii="Carlito" w:hAnsi="Carlito"/>
                <w:sz w:val="18"/>
              </w:rPr>
              <w:t xml:space="preserve">NumPy default RNG stream</w:t>
            </w:r>
          </w:p>
        </w:tc>
      </w:tr>
      <w:tr>
        <w:trPr>
          <w:cantSplit/>
        </w:trPr>
        <w:tc>
          <w:tcPr>
            <w:tcW w:type="dxa" w:w="2458"/>
            <w:vAlign w:val="top"/>
          </w:tcPr>
          <w:p>
            <w:pPr>
              <w:pStyle w:val="Compact"/>
              <w:spacing w:after="60" w:line="240" w:lineRule="auto"/>
              <w:jc w:val="left"/>
            </w:pPr>
            <w:r>
              <w:rPr>
                <w:rFonts w:ascii="Carlito" w:hAnsi="Carlito"/>
                <w:sz w:val="18"/>
              </w:rPr>
              <w:t xml:space="preserve">random_cases</w:t>
            </w:r>
          </w:p>
        </w:tc>
        <w:tc>
          <w:tcPr>
            <w:tcW w:type="dxa" w:w="3834"/>
            <w:vAlign w:val="top"/>
          </w:tcPr>
          <w:p>
            <w:pPr>
              <w:pStyle w:val="Compact"/>
              <w:spacing w:after="60" w:line="240" w:lineRule="auto"/>
              <w:jc w:val="left"/>
            </w:pPr>
            <w:r>
              <w:rPr>
                <w:rFonts w:ascii="Carlito" w:hAnsi="Carlito"/>
                <w:sz w:val="18"/>
              </w:rPr>
              <w:t xml:space="preserve">32</w:t>
            </w:r>
          </w:p>
        </w:tc>
        <w:tc>
          <w:tcPr>
            <w:tcW w:type="dxa" w:w="3539"/>
            <w:vAlign w:val="top"/>
          </w:tcPr>
          <w:p>
            <w:pPr>
              <w:pStyle w:val="Compact"/>
              <w:spacing w:after="60" w:line="240" w:lineRule="auto"/>
              <w:jc w:val="left"/>
            </w:pPr>
            <w:r>
              <w:rPr>
                <w:rFonts w:ascii="Carlito" w:hAnsi="Carlito"/>
                <w:sz w:val="18"/>
              </w:rPr>
              <w:t xml:space="preserve">Each random matrix/invariance/perturbation check family</w:t>
            </w:r>
          </w:p>
        </w:tc>
      </w:tr>
      <w:tr>
        <w:trPr>
          <w:cantSplit/>
        </w:trPr>
        <w:tc>
          <w:tcPr>
            <w:tcW w:type="dxa" w:w="2458"/>
            <w:vAlign w:val="top"/>
          </w:tcPr>
          <w:p>
            <w:pPr>
              <w:pStyle w:val="Compact"/>
              <w:spacing w:after="60" w:line="240" w:lineRule="auto"/>
              <w:jc w:val="left"/>
            </w:pPr>
            <w:r>
              <w:rPr>
                <w:rFonts w:ascii="Carlito" w:hAnsi="Carlito"/>
                <w:sz w:val="18"/>
              </w:rPr>
              <w:t xml:space="preserve">mixed_draws</w:t>
            </w:r>
          </w:p>
        </w:tc>
        <w:tc>
          <w:tcPr>
            <w:tcW w:type="dxa" w:w="3834"/>
            <w:vAlign w:val="top"/>
          </w:tcPr>
          <w:p>
            <w:pPr>
              <w:pStyle w:val="Compact"/>
              <w:spacing w:after="60" w:line="240" w:lineRule="auto"/>
              <w:jc w:val="left"/>
            </w:pPr>
            <w:r>
              <w:rPr>
                <w:rFonts w:ascii="Carlito" w:hAnsi="Carlito"/>
                <w:sz w:val="18"/>
              </w:rPr>
              <w:t xml:space="preserve">1200</w:t>
            </w:r>
          </w:p>
        </w:tc>
        <w:tc>
          <w:tcPr>
            <w:tcW w:type="dxa" w:w="3539"/>
            <w:vAlign w:val="top"/>
          </w:tcPr>
          <w:p>
            <w:pPr>
              <w:pStyle w:val="Compact"/>
              <w:spacing w:after="60" w:line="240" w:lineRule="auto"/>
              <w:jc w:val="left"/>
            </w:pPr>
            <w:r>
              <w:rPr>
                <w:rFonts w:ascii="Carlito" w:hAnsi="Carlito"/>
                <w:sz w:val="18"/>
              </w:rPr>
              <w:t xml:space="preserve">Fixed-spectrum twirl Monte Carlo</w:t>
            </w:r>
          </w:p>
        </w:tc>
      </w:tr>
      <w:tr>
        <w:trPr>
          <w:cantSplit/>
        </w:trPr>
        <w:tc>
          <w:tcPr>
            <w:tcW w:type="dxa" w:w="2458"/>
            <w:vAlign w:val="top"/>
          </w:tcPr>
          <w:p>
            <w:pPr>
              <w:pStyle w:val="Compact"/>
              <w:spacing w:after="60" w:line="240" w:lineRule="auto"/>
              <w:jc w:val="left"/>
            </w:pPr>
            <w:r>
              <w:rPr>
                <w:rFonts w:ascii="Carlito" w:hAnsi="Carlito"/>
                <w:sz w:val="18"/>
              </w:rPr>
              <w:t xml:space="preserve">word_length</w:t>
            </w:r>
          </w:p>
        </w:tc>
        <w:tc>
          <w:tcPr>
            <w:tcW w:type="dxa" w:w="3834"/>
            <w:vAlign w:val="top"/>
          </w:tcPr>
          <w:p>
            <w:pPr>
              <w:pStyle w:val="Compact"/>
              <w:spacing w:after="60" w:line="240" w:lineRule="auto"/>
              <w:jc w:val="left"/>
            </w:pPr>
            <w:r>
              <w:rPr>
                <w:rFonts w:ascii="Carlito" w:hAnsi="Carlito"/>
                <w:sz w:val="18"/>
              </w:rPr>
              <w:t xml:space="preserve">5</w:t>
            </w:r>
          </w:p>
        </w:tc>
        <w:tc>
          <w:tcPr>
            <w:tcW w:type="dxa" w:w="3539"/>
            <w:vAlign w:val="top"/>
          </w:tcPr>
          <w:p>
            <w:pPr>
              <w:pStyle w:val="Compact"/>
              <w:spacing w:after="60" w:line="240" w:lineRule="auto"/>
              <w:jc w:val="left"/>
            </w:pPr>
            <w:r>
              <w:rPr>
                <w:rFonts w:ascii="Carlito" w:hAnsi="Carlito"/>
                <w:sz w:val="18"/>
              </w:rPr>
              <w:t xml:space="preserve">Symbolic support enumeration</w:t>
            </w:r>
          </w:p>
        </w:tc>
      </w:tr>
      <w:tr>
        <w:trPr>
          <w:cantSplit/>
        </w:trPr>
        <w:tc>
          <w:tcPr>
            <w:tcW w:type="dxa" w:w="2458"/>
            <w:vAlign w:val="top"/>
          </w:tcPr>
          <w:p>
            <w:pPr>
              <w:pStyle w:val="Compact"/>
              <w:spacing w:after="60" w:line="240" w:lineRule="auto"/>
              <w:jc w:val="left"/>
            </w:pPr>
            <w:r>
              <w:rPr>
                <w:rFonts w:ascii="Carlito" w:hAnsi="Carlito"/>
                <w:sz w:val="18"/>
              </w:rPr>
              <w:t xml:space="preserve">chain_length</w:t>
            </w:r>
          </w:p>
        </w:tc>
        <w:tc>
          <w:tcPr>
            <w:tcW w:type="dxa" w:w="3834"/>
            <w:vAlign w:val="top"/>
          </w:tcPr>
          <w:p>
            <w:pPr>
              <w:pStyle w:val="Compact"/>
              <w:spacing w:after="60" w:line="240" w:lineRule="auto"/>
              <w:jc w:val="left"/>
            </w:pPr>
            <w:r>
              <w:rPr>
                <w:rFonts w:ascii="Carlito" w:hAnsi="Carlito"/>
                <w:sz w:val="18"/>
              </w:rPr>
              <w:t xml:space="preserve">30000</w:t>
            </w:r>
          </w:p>
        </w:tc>
        <w:tc>
          <w:tcPr>
            <w:tcW w:type="dxa" w:w="3539"/>
            <w:vAlign w:val="top"/>
          </w:tcPr>
          <w:p>
            <w:pPr>
              <w:pStyle w:val="Compact"/>
              <w:spacing w:after="60" w:line="240" w:lineRule="auto"/>
              <w:jc w:val="left"/>
            </w:pPr>
            <w:r>
              <w:rPr>
                <w:rFonts w:ascii="Carlito" w:hAnsi="Carlito"/>
                <w:sz w:val="18"/>
              </w:rPr>
              <w:t xml:space="preserve">Finite golden-mean example</w:t>
            </w:r>
          </w:p>
        </w:tc>
      </w:tr>
      <w:tr>
        <w:trPr>
          <w:cantSplit/>
        </w:trPr>
        <w:tc>
          <w:tcPr>
            <w:tcW w:type="dxa" w:w="2458"/>
            <w:vAlign w:val="top"/>
          </w:tcPr>
          <w:p>
            <w:pPr>
              <w:pStyle w:val="Compact"/>
              <w:spacing w:after="60" w:line="240" w:lineRule="auto"/>
              <w:jc w:val="left"/>
            </w:pPr>
            <w:r>
              <w:rPr>
                <w:rFonts w:ascii="Carlito" w:hAnsi="Carlito"/>
                <w:sz w:val="18"/>
              </w:rPr>
              <w:t xml:space="preserve">bound_epsilon</w:t>
            </w:r>
          </w:p>
        </w:tc>
        <w:tc>
          <w:tcPr>
            <w:tcW w:type="dxa" w:w="3834"/>
            <w:vAlign w:val="top"/>
          </w:tcPr>
          <w:p>
            <w:pPr>
              <w:pStyle w:val="Compact"/>
              <w:spacing w:after="60" w:line="240" w:lineRule="auto"/>
              <w:jc w:val="left"/>
            </w:pPr>
            <w:r>
              <w:rPr>
                <w:rFonts w:ascii="Carlito" w:hAnsi="Carlito"/>
                <w:sz w:val="18"/>
              </w:rPr>
              <w:t xml:space="preserve">0.1</w:t>
            </w:r>
          </w:p>
        </w:tc>
        <w:tc>
          <w:tcPr>
            <w:tcW w:type="dxa" w:w="3539"/>
            <w:vAlign w:val="top"/>
          </w:tcPr>
          <w:p>
            <w:pPr>
              <w:pStyle w:val="Compact"/>
              <w:spacing w:after="60" w:line="240" w:lineRule="auto"/>
              <w:jc w:val="left"/>
            </w:pPr>
            <w:r>
              <w:rPr>
                <w:rFonts w:ascii="Carlito" w:hAnsi="Carlito"/>
                <w:sz w:val="18"/>
              </w:rPr>
              <w:t xml:space="preserve">Adaptive-family probability envelope</w:t>
            </w:r>
          </w:p>
        </w:tc>
      </w:tr>
      <w:tr>
        <w:trPr>
          <w:cantSplit/>
        </w:trPr>
        <w:tc>
          <w:tcPr>
            <w:tcW w:type="dxa" w:w="2458"/>
            <w:vAlign w:val="top"/>
          </w:tcPr>
          <w:p>
            <w:pPr>
              <w:pStyle w:val="Compact"/>
              <w:spacing w:after="60" w:line="240" w:lineRule="auto"/>
              <w:jc w:val="left"/>
            </w:pPr>
            <w:r>
              <w:rPr>
                <w:rFonts w:ascii="Carlito" w:hAnsi="Carlito"/>
                <w:sz w:val="18"/>
              </w:rPr>
              <w:t xml:space="preserve">net_radius</w:t>
            </w:r>
          </w:p>
        </w:tc>
        <w:tc>
          <w:tcPr>
            <w:tcW w:type="dxa" w:w="3834"/>
            <w:vAlign w:val="top"/>
          </w:tcPr>
          <w:p>
            <w:pPr>
              <w:pStyle w:val="Compact"/>
              <w:spacing w:after="60" w:line="240" w:lineRule="auto"/>
              <w:jc w:val="left"/>
            </w:pPr>
            <w:r>
              <w:rPr>
                <w:rFonts w:ascii="Carlito" w:hAnsi="Carlito"/>
                <w:sz w:val="18"/>
              </w:rPr>
              <w:t xml:space="preserve">0.05</w:t>
            </w:r>
          </w:p>
        </w:tc>
        <w:tc>
          <w:tcPr>
            <w:tcW w:type="dxa" w:w="3539"/>
            <w:vAlign w:val="top"/>
          </w:tcPr>
          <w:p>
            <w:pPr>
              <w:pStyle w:val="Compact"/>
              <w:spacing w:after="60" w:line="240" w:lineRule="auto"/>
              <w:jc w:val="left"/>
            </w:pPr>
            <w:r>
              <w:rPr>
                <w:rFonts w:ascii="Carlito" w:hAnsi="Carlito"/>
                <w:sz w:val="18"/>
              </w:rPr>
              <w:t xml:space="preserve">Operator-norm cover radius</w:t>
            </w:r>
          </w:p>
        </w:tc>
      </w:tr>
      <w:tr>
        <w:trPr>
          <w:cantSplit/>
        </w:trPr>
        <w:tc>
          <w:tcPr>
            <w:tcW w:type="dxa" w:w="2458"/>
            <w:vAlign w:val="top"/>
          </w:tcPr>
          <w:p>
            <w:pPr>
              <w:pStyle w:val="Compact"/>
              <w:spacing w:after="60" w:line="240" w:lineRule="auto"/>
              <w:jc w:val="left"/>
            </w:pPr>
            <w:r>
              <w:rPr>
                <w:rFonts w:ascii="Carlito" w:hAnsi="Carlito"/>
                <w:sz w:val="18"/>
              </w:rPr>
              <w:t xml:space="preserve">angle_limit</w:t>
            </w:r>
          </w:p>
        </w:tc>
        <w:tc>
          <w:tcPr>
            <w:tcW w:type="dxa" w:w="3834"/>
            <w:vAlign w:val="top"/>
          </w:tcPr>
          <w:p>
            <w:pPr>
              <w:pStyle w:val="Compact"/>
              <w:spacing w:after="60" w:line="240" w:lineRule="auto"/>
              <w:jc w:val="left"/>
            </w:pPr>
            <w:r>
              <w:rPr>
                <w:rFonts w:ascii="Carlito" w:hAnsi="Carlito"/>
                <w:sz w:val="18"/>
              </w:rPr>
              <w:t xml:space="preserve">pi</w:t>
            </w:r>
          </w:p>
        </w:tc>
        <w:tc>
          <w:tcPr>
            <w:tcW w:type="dxa" w:w="3539"/>
            <w:vAlign w:val="top"/>
          </w:tcPr>
          <w:p>
            <w:pPr>
              <w:pStyle w:val="Compact"/>
              <w:spacing w:after="60" w:line="240" w:lineRule="auto"/>
              <w:jc w:val="left"/>
            </w:pPr>
            <w:r>
              <w:rPr>
                <w:rFonts w:ascii="Carlito" w:hAnsi="Carlito"/>
                <w:sz w:val="18"/>
              </w:rPr>
              <w:t xml:space="preserve">Declared circuit parameter interval</w:t>
            </w:r>
          </w:p>
        </w:tc>
      </w:tr>
      <w:tr>
        <w:trPr>
          <w:cantSplit/>
        </w:trPr>
        <w:tc>
          <w:tcPr>
            <w:tcW w:type="dxa" w:w="2458"/>
            <w:vAlign w:val="top"/>
          </w:tcPr>
          <w:p>
            <w:pPr>
              <w:pStyle w:val="Compact"/>
              <w:spacing w:after="60" w:line="240" w:lineRule="auto"/>
              <w:jc w:val="left"/>
            </w:pPr>
            <w:r>
              <w:rPr>
                <w:rFonts w:ascii="Carlito" w:hAnsi="Carlito"/>
                <w:sz w:val="18"/>
              </w:rPr>
              <w:t xml:space="preserve">max_bound_qubits</w:t>
            </w:r>
          </w:p>
        </w:tc>
        <w:tc>
          <w:tcPr>
            <w:tcW w:type="dxa" w:w="3834"/>
            <w:vAlign w:val="top"/>
          </w:tcPr>
          <w:p>
            <w:pPr>
              <w:pStyle w:val="Compact"/>
              <w:spacing w:after="60" w:line="240" w:lineRule="auto"/>
              <w:jc w:val="left"/>
            </w:pPr>
            <w:r>
              <w:rPr>
                <w:rFonts w:ascii="Carlito" w:hAnsi="Carlito"/>
                <w:sz w:val="18"/>
              </w:rPr>
              <w:t xml:space="preserve">32</w:t>
            </w:r>
          </w:p>
        </w:tc>
        <w:tc>
          <w:tcPr>
            <w:tcW w:type="dxa" w:w="3539"/>
            <w:vAlign w:val="top"/>
          </w:tcPr>
          <w:p>
            <w:pPr>
              <w:pStyle w:val="Compact"/>
              <w:spacing w:after="60" w:line="240" w:lineRule="auto"/>
              <w:jc w:val="left"/>
            </w:pPr>
            <w:r>
              <w:rPr>
                <w:rFonts w:ascii="Carlito" w:hAnsi="Carlito"/>
                <w:sz w:val="18"/>
              </w:rPr>
              <w:t xml:space="preserve">Envelope evaluation through 32 qubits; no 32-qubit state simulation</w:t>
            </w:r>
          </w:p>
        </w:tc>
      </w:tr>
    </w:tbl>
    <w:p>
      <w:pPr>
        <w:pStyle w:val="BodyText"/>
      </w:pPr>
      <w:r>
        <w:t xml:space="preserve">The canonical effective-configuration SHA-256 is</w:t>
      </w:r>
      <w:r>
        <w:t xml:space="preserve"> </w:t>
      </w:r>
      <w:r>
        <w:rPr>
          <w:rStyle w:val="VerbatimChar"/>
        </w:rPr>
        <w:t xml:space="preserve">f5f8d1633e36e402922eefb5fe8a24640b890fa028e0985856a753f779cabc2b</w:t>
      </w:r>
      <w:r>
        <w:t xml:space="preserve">. Numerical environment: Python 3.13.5, NumPy 2.3.5 and SciPy 1.17.0. The supplied Claude audit originally reports Python 3.11.15, NumPy 2.4.4 and SciPy 1.17.1, so agreement is assessed with tolerances, not assumed from version identity. The code’s environment report supplies the actual current values rather than promising installation compatibility with every platform.</w:t>
      </w:r>
    </w:p>
    <w:p>
      <w:pPr>
        <w:pStyle w:val="BodyText"/>
        <w:keepNext/>
      </w:pPr>
      <w:r>
        <w:rPr>
          <w:b/>
          <w:bCs/>
        </w:rPr>
        <w:t xml:space="preserve">Table S3. Data files and their unit of observation</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File in historical/supporting_lineage/v1_6_data/</w:t>
            </w:r>
          </w:p>
        </w:tc>
        <w:tc>
          <w:tcPr>
            <w:shd w:fill="EAF0F4"/>
            <w:tcW w:type="dxa" w:w="3834"/>
            <w:vAlign w:val="top"/>
          </w:tcPr>
          <w:p>
            <w:pPr>
              <w:pStyle w:val="Compact"/>
              <w:spacing w:after="60" w:line="240" w:lineRule="auto"/>
              <w:jc w:val="left"/>
            </w:pPr>
            <w:r>
              <w:rPr>
                <w:rFonts w:ascii="Carlito" w:hAnsi="Carlito"/>
                <w:b/>
                <w:sz w:val="18"/>
              </w:rPr>
              <w:t xml:space="preserve">Contents</w:t>
            </w:r>
          </w:p>
        </w:tc>
        <w:tc>
          <w:tcPr>
            <w:shd w:fill="EAF0F4"/>
            <w:tcW w:type="dxa" w:w="3539"/>
            <w:vAlign w:val="top"/>
          </w:tcPr>
          <w:p>
            <w:pPr>
              <w:pStyle w:val="Compact"/>
              <w:spacing w:after="60" w:line="240" w:lineRule="auto"/>
              <w:jc w:val="left"/>
            </w:pPr>
            <w:r>
              <w:rPr>
                <w:rFonts w:ascii="Carlito" w:hAnsi="Carlito"/>
                <w:b/>
                <w:sz w:val="18"/>
              </w:rPr>
              <w:t xml:space="preserve">Interpretation</w:t>
            </w:r>
          </w:p>
        </w:tc>
      </w:tr>
      <w:tr>
        <w:trPr>
          <w:cantSplit/>
        </w:trPr>
        <w:tc>
          <w:tcPr>
            <w:tcW w:type="dxa" w:w="2458"/>
            <w:vAlign w:val="top"/>
          </w:tcPr>
          <w:p>
            <w:pPr>
              <w:pStyle w:val="Compact"/>
              <w:spacing w:after="60" w:line="240" w:lineRule="auto"/>
              <w:jc w:val="left"/>
            </w:pPr>
            <w:r>
              <w:rPr>
                <w:rFonts w:ascii="Carlito" w:hAnsi="Carlito"/>
                <w:sz w:val="18"/>
              </w:rPr>
              <w:t xml:space="preserve">per_case_checks.csv</w:t>
            </w:r>
          </w:p>
        </w:tc>
        <w:tc>
          <w:tcPr>
            <w:tcW w:type="dxa" w:w="3834"/>
            <w:vAlign w:val="top"/>
          </w:tcPr>
          <w:p>
            <w:pPr>
              <w:pStyle w:val="Compact"/>
              <w:spacing w:after="60" w:line="240" w:lineRule="auto"/>
              <w:jc w:val="left"/>
            </w:pPr>
            <w:r>
              <w:rPr>
                <w:rFonts w:ascii="Carlito" w:hAnsi="Carlito"/>
                <w:sz w:val="18"/>
              </w:rPr>
              <w:t xml:space="preserve">32 cases, gauge and stabilizer residuals, local bound and sampled slope</w:t>
            </w:r>
          </w:p>
        </w:tc>
        <w:tc>
          <w:tcPr>
            <w:tcW w:type="dxa" w:w="3539"/>
            <w:vAlign w:val="top"/>
          </w:tcPr>
          <w:p>
            <w:pPr>
              <w:pStyle w:val="Compact"/>
              <w:spacing w:after="60" w:line="240" w:lineRule="auto"/>
              <w:jc w:val="left"/>
            </w:pPr>
            <w:r>
              <w:rPr>
                <w:rFonts w:ascii="Carlito" w:hAnsi="Carlito"/>
                <w:sz w:val="18"/>
              </w:rPr>
              <w:t xml:space="preserve">Numerical checks of deterministic inequalities</w:t>
            </w:r>
          </w:p>
        </w:tc>
      </w:tr>
      <w:tr>
        <w:trPr>
          <w:cantSplit/>
        </w:trPr>
        <w:tc>
          <w:tcPr>
            <w:tcW w:type="dxa" w:w="2458"/>
            <w:vAlign w:val="top"/>
          </w:tcPr>
          <w:p>
            <w:pPr>
              <w:pStyle w:val="Compact"/>
              <w:spacing w:after="60" w:line="240" w:lineRule="auto"/>
              <w:jc w:val="left"/>
            </w:pPr>
            <w:r>
              <w:rPr>
                <w:rFonts w:ascii="Carlito" w:hAnsi="Carlito"/>
                <w:sz w:val="18"/>
              </w:rPr>
              <w:t xml:space="preserve">perturbation_checks.csv</w:t>
            </w:r>
          </w:p>
        </w:tc>
        <w:tc>
          <w:tcPr>
            <w:tcW w:type="dxa" w:w="3834"/>
            <w:vAlign w:val="top"/>
          </w:tcPr>
          <w:p>
            <w:pPr>
              <w:pStyle w:val="Compact"/>
              <w:spacing w:after="60" w:line="240" w:lineRule="auto"/>
              <w:jc w:val="left"/>
            </w:pPr>
            <w:r>
              <w:rPr>
                <w:rFonts w:ascii="Carlito" w:hAnsi="Carlito"/>
                <w:sz w:val="18"/>
              </w:rPr>
              <w:t xml:space="preserve">32 differences and perturbation bounds</w:t>
            </w:r>
          </w:p>
        </w:tc>
        <w:tc>
          <w:tcPr>
            <w:tcW w:type="dxa" w:w="3539"/>
            <w:vAlign w:val="top"/>
          </w:tcPr>
          <w:p>
            <w:pPr>
              <w:pStyle w:val="Compact"/>
              <w:spacing w:after="60" w:line="240" w:lineRule="auto"/>
              <w:jc w:val="left"/>
            </w:pPr>
            <w:r>
              <w:rPr>
                <w:rFonts w:ascii="Carlito" w:hAnsi="Carlito"/>
                <w:sz w:val="18"/>
              </w:rPr>
              <w:t xml:space="preserve">New small finite checks, distinct from the replayed 9,000 checks</w:t>
            </w:r>
          </w:p>
        </w:tc>
      </w:tr>
      <w:tr>
        <w:trPr>
          <w:cantSplit/>
        </w:trPr>
        <w:tc>
          <w:tcPr>
            <w:tcW w:type="dxa" w:w="2458"/>
            <w:vAlign w:val="top"/>
          </w:tcPr>
          <w:p>
            <w:pPr>
              <w:pStyle w:val="Compact"/>
              <w:spacing w:after="60" w:line="240" w:lineRule="auto"/>
              <w:jc w:val="left"/>
            </w:pPr>
            <w:r>
              <w:rPr>
                <w:rFonts w:ascii="Carlito" w:hAnsi="Carlito"/>
                <w:sz w:val="18"/>
              </w:rPr>
              <w:t xml:space="preserve">localized_constants.csv</w:t>
            </w:r>
          </w:p>
        </w:tc>
        <w:tc>
          <w:tcPr>
            <w:tcW w:type="dxa" w:w="3834"/>
            <w:vAlign w:val="top"/>
          </w:tcPr>
          <w:p>
            <w:pPr>
              <w:pStyle w:val="Compact"/>
              <w:spacing w:after="60" w:line="240" w:lineRule="auto"/>
              <w:jc w:val="left"/>
            </w:pPr>
            <w:r>
              <w:rPr>
                <w:rFonts w:ascii="Carlito" w:hAnsi="Carlito"/>
                <w:sz w:val="18"/>
              </w:rPr>
              <w:t xml:space="preserve">Global and endpoint touching constants for 2, 4, 6 qubits</w:t>
            </w:r>
          </w:p>
        </w:tc>
        <w:tc>
          <w:tcPr>
            <w:tcW w:type="dxa" w:w="3539"/>
            <w:vAlign w:val="top"/>
          </w:tcPr>
          <w:p>
            <w:pPr>
              <w:pStyle w:val="Compact"/>
              <w:spacing w:after="60" w:line="240" w:lineRule="auto"/>
              <w:jc w:val="left"/>
            </w:pPr>
            <w:r>
              <w:rPr>
                <w:rFonts w:ascii="Carlito" w:hAnsi="Carlito"/>
                <w:sz w:val="18"/>
              </w:rPr>
              <w:t xml:space="preserve">One explicitly specified bounded-strength model</w:t>
            </w:r>
          </w:p>
        </w:tc>
      </w:tr>
      <w:tr>
        <w:trPr>
          <w:cantSplit/>
        </w:trPr>
        <w:tc>
          <w:tcPr>
            <w:tcW w:type="dxa" w:w="2458"/>
            <w:vAlign w:val="top"/>
          </w:tcPr>
          <w:p>
            <w:pPr>
              <w:pStyle w:val="Compact"/>
              <w:spacing w:after="60" w:line="240" w:lineRule="auto"/>
              <w:jc w:val="left"/>
            </w:pPr>
            <w:r>
              <w:rPr>
                <w:rFonts w:ascii="Carlito" w:hAnsi="Carlito"/>
                <w:sz w:val="18"/>
              </w:rPr>
              <w:t xml:space="preserve">mixed_draws.csv</w:t>
            </w:r>
          </w:p>
        </w:tc>
        <w:tc>
          <w:tcPr>
            <w:tcW w:type="dxa" w:w="3834"/>
            <w:vAlign w:val="top"/>
          </w:tcPr>
          <w:p>
            <w:pPr>
              <w:pStyle w:val="Compact"/>
              <w:spacing w:after="60" w:line="240" w:lineRule="auto"/>
              <w:jc w:val="left"/>
            </w:pPr>
            <w:r>
              <w:rPr>
                <w:rFonts w:ascii="Carlito" w:hAnsi="Carlito"/>
                <w:sz w:val="18"/>
              </w:rPr>
              <w:t xml:space="preserve">1,200 squared Hilbert-Schmidt deviations</w:t>
            </w:r>
          </w:p>
        </w:tc>
        <w:tc>
          <w:tcPr>
            <w:tcW w:type="dxa" w:w="3539"/>
            <w:vAlign w:val="top"/>
          </w:tcPr>
          <w:p>
            <w:pPr>
              <w:pStyle w:val="Compact"/>
              <w:spacing w:after="60" w:line="240" w:lineRule="auto"/>
              <w:jc w:val="left"/>
            </w:pPr>
            <w:r>
              <w:rPr>
                <w:rFonts w:ascii="Carlito" w:hAnsi="Carlito"/>
                <w:sz w:val="18"/>
              </w:rPr>
              <w:t xml:space="preserve">Individual draws, not only an aggregate</w:t>
            </w:r>
          </w:p>
        </w:tc>
      </w:tr>
      <w:tr>
        <w:trPr>
          <w:cantSplit/>
        </w:trPr>
        <w:tc>
          <w:tcPr>
            <w:tcW w:type="dxa" w:w="2458"/>
            <w:vAlign w:val="top"/>
          </w:tcPr>
          <w:p>
            <w:pPr>
              <w:pStyle w:val="Compact"/>
              <w:spacing w:after="60" w:line="240" w:lineRule="auto"/>
              <w:jc w:val="left"/>
            </w:pPr>
            <w:r>
              <w:rPr>
                <w:rFonts w:ascii="Carlito" w:hAnsi="Carlito"/>
                <w:sz w:val="18"/>
              </w:rPr>
              <w:t xml:space="preserve">symbolic_support.csv</w:t>
            </w:r>
          </w:p>
        </w:tc>
        <w:tc>
          <w:tcPr>
            <w:tcW w:type="dxa" w:w="3834"/>
            <w:vAlign w:val="top"/>
          </w:tcPr>
          <w:p>
            <w:pPr>
              <w:pStyle w:val="Compact"/>
              <w:spacing w:after="60" w:line="240" w:lineRule="auto"/>
              <w:jc w:val="left"/>
            </w:pPr>
            <w:r>
              <w:rPr>
                <w:rFonts w:ascii="Carlito" w:hAnsi="Carlito"/>
                <w:sz w:val="18"/>
              </w:rPr>
              <w:t xml:space="preserve">All 32 binary length-five words and their model probabilities</w:t>
            </w:r>
          </w:p>
        </w:tc>
        <w:tc>
          <w:tcPr>
            <w:tcW w:type="dxa" w:w="3539"/>
            <w:vAlign w:val="top"/>
          </w:tcPr>
          <w:p>
            <w:pPr>
              <w:pStyle w:val="Compact"/>
              <w:spacing w:after="60" w:line="240" w:lineRule="auto"/>
              <w:jc w:val="left"/>
            </w:pPr>
            <w:r>
              <w:rPr>
                <w:rFonts w:ascii="Carlito" w:hAnsi="Carlito"/>
                <w:sz w:val="18"/>
              </w:rPr>
              <w:t xml:space="preserve">Exact support and finite-sample occurrence are distinct columns</w:t>
            </w:r>
          </w:p>
        </w:tc>
      </w:tr>
      <w:tr>
        <w:trPr>
          <w:cantSplit/>
        </w:trPr>
        <w:tc>
          <w:tcPr>
            <w:tcW w:type="dxa" w:w="2458"/>
            <w:vAlign w:val="top"/>
          </w:tcPr>
          <w:p>
            <w:pPr>
              <w:pStyle w:val="Compact"/>
              <w:spacing w:after="60" w:line="240" w:lineRule="auto"/>
              <w:jc w:val="left"/>
            </w:pPr>
            <w:r>
              <w:rPr>
                <w:rFonts w:ascii="Carlito" w:hAnsi="Carlito"/>
                <w:sz w:val="18"/>
              </w:rPr>
              <w:t xml:space="preserve">adaptive_cover_bound.csv</w:t>
            </w:r>
          </w:p>
        </w:tc>
        <w:tc>
          <w:tcPr>
            <w:tcW w:type="dxa" w:w="3834"/>
            <w:vAlign w:val="top"/>
          </w:tcPr>
          <w:p>
            <w:pPr>
              <w:pStyle w:val="Compact"/>
              <w:spacing w:after="60" w:line="240" w:lineRule="auto"/>
              <w:jc w:val="left"/>
            </w:pPr>
            <w:r>
              <w:rPr>
                <w:rFonts w:ascii="Carlito" w:hAnsi="Carlito"/>
                <w:sz w:val="18"/>
              </w:rPr>
              <w:t xml:space="preserve">Log probability envelopes for n=4 through 32</w:t>
            </w:r>
          </w:p>
        </w:tc>
        <w:tc>
          <w:tcPr>
            <w:tcW w:type="dxa" w:w="3539"/>
            <w:vAlign w:val="top"/>
          </w:tcPr>
          <w:p>
            <w:pPr>
              <w:pStyle w:val="Compact"/>
              <w:spacing w:after="60" w:line="240" w:lineRule="auto"/>
              <w:jc w:val="left"/>
            </w:pPr>
            <w:r>
              <w:rPr>
                <w:rFonts w:ascii="Carlito" w:hAnsi="Carlito"/>
                <w:sz w:val="18"/>
              </w:rPr>
              <w:t xml:space="preserve">Evaluation of a theorem bound, not physical observations</w:t>
            </w:r>
          </w:p>
        </w:tc>
      </w:tr>
      <w:tr>
        <w:trPr>
          <w:cantSplit/>
        </w:trPr>
        <w:tc>
          <w:tcPr>
            <w:tcW w:type="dxa" w:w="2458"/>
            <w:vAlign w:val="top"/>
          </w:tcPr>
          <w:p>
            <w:pPr>
              <w:pStyle w:val="Compact"/>
              <w:spacing w:after="60" w:line="240" w:lineRule="auto"/>
              <w:jc w:val="left"/>
            </w:pPr>
            <w:r>
              <w:rPr>
                <w:rFonts w:ascii="Carlito" w:hAnsi="Carlito"/>
                <w:sz w:val="18"/>
              </w:rPr>
              <w:t xml:space="preserve">results.json</w:t>
            </w:r>
          </w:p>
        </w:tc>
        <w:tc>
          <w:tcPr>
            <w:tcW w:type="dxa" w:w="3834"/>
            <w:vAlign w:val="top"/>
          </w:tcPr>
          <w:p>
            <w:pPr>
              <w:pStyle w:val="Compact"/>
              <w:spacing w:after="60" w:line="240" w:lineRule="auto"/>
              <w:jc w:val="left"/>
            </w:pPr>
            <w:r>
              <w:rPr>
                <w:rFonts w:ascii="Carlito" w:hAnsi="Carlito"/>
                <w:sz w:val="18"/>
              </w:rPr>
              <w:t xml:space="preserve">Assertions, selected summaries, environment and code hash</w:t>
            </w:r>
          </w:p>
        </w:tc>
        <w:tc>
          <w:tcPr>
            <w:tcW w:type="dxa" w:w="3539"/>
            <w:vAlign w:val="top"/>
          </w:tcPr>
          <w:p>
            <w:pPr>
              <w:pStyle w:val="Compact"/>
              <w:spacing w:after="60" w:line="240" w:lineRule="auto"/>
              <w:jc w:val="left"/>
            </w:pPr>
            <w:r>
              <w:rPr>
                <w:rFonts w:ascii="Carlito" w:hAnsi="Carlito"/>
                <w:sz w:val="18"/>
              </w:rPr>
              <w:t xml:space="preserve">Failures cannot be hidden by counting only passed examples</w:t>
            </w:r>
          </w:p>
        </w:tc>
      </w:tr>
    </w:tbl>
    <w:p>
      <w:pPr>
        <w:pStyle w:val="BodyText"/>
      </w:pPr>
      <w:r>
        <w:t xml:space="preserve">The old constant-window example retains its analytic certificate 0.0097751350, before adding a numerical error budget. The new endpoint chain has</w:t>
      </w:r>
      <w:r>
        <w:t xml:space="preserve"> </w:t>
      </w:r>
      <m:oMath>
        <m:sSub>
          <m:e>
            <m:r>
              <m:t>K</m:t>
            </m:r>
          </m:e>
          <m:sub>
            <m:r>
              <m:t>F</m:t>
            </m:r>
          </m:sub>
        </m:sSub>
        <m:r>
          <m:rPr>
            <m:sty m:val="p"/>
          </m:rPr>
          <m:t>=</m:t>
        </m:r>
        <m:rad>
          <m:radPr>
            <m:degHide m:val="on"/>
          </m:radPr>
          <m:deg/>
          <m:e>
            <m:r>
              <m:t>1.0025</m:t>
            </m:r>
          </m:e>
        </m:rad>
      </m:oMath>
      <w:r>
        <w:t xml:space="preserve"> </w:t>
      </w:r>
      <w:r>
        <w:t xml:space="preserve">for every plotted size. The supplied random-chain example is a different construction, not a failed attempt to reproduce this value.</w:t>
      </w:r>
    </w:p>
    <w:bookmarkEnd w:id="38"/>
    <w:bookmarkStart w:id="39" w:name="Xf728d8eae29dae4e6191f2d7127b1f524f8d835"/>
    <w:p>
      <w:pPr>
        <w:pStyle w:val="Heading3"/>
      </w:pPr>
      <w:r>
        <w:t xml:space="preserve">S5.4 Independent small verification and reproduction instructions</w:t>
      </w:r>
    </w:p>
    <w:p>
      <w:pPr>
        <w:pStyle w:val="FirstParagraph"/>
      </w:pPr>
      <w:r>
        <w:t xml:space="preserve">The second checker does not import the main checker. It reconstructs exact permutation ranks, contracts the twirl in a different form, evaluates endpoint spectra analytically, and checks the circuit-cover arithmetic. Its 46 checks are another implementation path within the same session, not a second research team.</w:t>
      </w:r>
    </w:p>
    <w:p>
      <w:pPr>
        <w:pStyle w:val="BodyText"/>
      </w:pPr>
      <w:r>
        <w:t xml:space="preserve">From the extracted release root, use initially absent output directories:</w:t>
      </w:r>
    </w:p>
    <w:p>
      <w:pPr>
        <w:pStyle w:val="SourceCode"/>
      </w:pPr>
      <w:r>
        <w:rPr>
          <w:rStyle w:val="VerbatimChar"/>
        </w:rPr>
        <w:t xml:space="preserve">python historical/supporting_lineage/v1_6_code/checks_v0_3_0.py --config historical/supporting_lineage/v1_6_code/config.json --output /path/to/fresh_calibration</w:t>
      </w:r>
      <w:r>
        <w:br/>
      </w:r>
      <w:r>
        <w:rPr>
          <w:rStyle w:val="VerbatimChar"/>
        </w:rPr>
        <w:t xml:space="preserve">python historical/supporting_lineage/v1_6_code/second_checks_v0_3_0.py --results /path/to/fresh_calibration</w:t>
      </w:r>
      <w:r>
        <w:br/>
      </w:r>
      <w:r>
        <w:rPr>
          <w:rStyle w:val="VerbatimChar"/>
        </w:rPr>
        <w:t xml:space="preserve">python historical/supporting_lineage/v1_6_code/plot_results.py --data /path/to/fresh_calibration --output /path/to/fresh_figures</w:t>
      </w:r>
    </w:p>
    <w:p>
      <w:pPr>
        <w:pStyle w:val="FirstParagraph"/>
      </w:pPr>
      <w:r>
        <w:t xml:space="preserve">The legacy scripts are preserved for provenance and old calibration replay. They are not silently relabelled as corrected production software. In particular, the earlier hard-coded defaults and aggregate-only outputs remain historical limitations. New matrix cases and mixed draws have individual rows; a future model-search implementation must additionally log every input frame, rejection, tie, search failure and certificate interval.</w:t>
      </w:r>
    </w:p>
    <w:p>
      <w:pPr>
        <w:pStyle w:val="BodyText"/>
      </w:pPr>
      <w:r>
        <w:t xml:space="preserve">For raw floating-point checks, a small residual is not a verified interval enclosure. The many-body continuum certificate requires a defensible numerical allowance or interval method. Without one, report numerical evidence and a certificate conditional on the allowance, not rigorous machine certification.</w:t>
      </w:r>
    </w:p>
    <w:bookmarkEnd w:id="39"/>
    <w:bookmarkStart w:id="40" w:name="X370965677bdd59705bab024c29bfb50510dee8b"/>
    <w:p>
      <w:pPr>
        <w:pStyle w:val="Heading3"/>
      </w:pPr>
      <w:r>
        <w:t xml:space="preserve">S5.5 Conditional pairing retained only as an alternative</w:t>
      </w:r>
    </w:p>
    <w:p>
      <w:pPr>
        <w:pStyle w:val="FirstParagraph"/>
      </w:pPr>
      <w:r>
        <w:t xml:space="preserve">The v1.6 primary prospective target compares normalized counts within an input-eligible model. It uses no cross-model pairing. The previous pairing method remains meaningful only under its own contract: specify the independent unit, frame registration, conditioning variables, admissible group action, why the null is invariant, tie handling and missing-output treatment. A complete permutation group cannot create exchangeability in a physical population that lacks it.</w:t>
      </w:r>
    </w:p>
    <w:p>
      <w:pPr>
        <w:pStyle w:val="BodyText"/>
      </w:pPr>
      <w:r>
        <w:t xml:space="preserve">Fixed common frames can make matched and mismatched distances identical. Randomly varying shared orientations can produce an apparent pairing signal inherited from supplied structure. These are valid diagnostic examples, not reasons to ban every permutation test. Where the null cannot be justified, the appropriate status is NO_IDENTIFIED_PAIRING_NULL. The original conditional wording is preserved in</w:t>
      </w:r>
      <w:r>
        <w:t xml:space="preserve"> </w:t>
      </w:r>
      <w:r>
        <w:rPr>
          <w:rStyle w:val="VerbatimChar"/>
        </w:rPr>
        <w:t xml:space="preserve">editorial/retained_pairing_contract.md</w:t>
      </w:r>
      <w:r>
        <w:t xml:space="preserve">.</w:t>
      </w:r>
    </w:p>
    <w:bookmarkEnd w:id="40"/>
    <w:bookmarkStart w:id="41" w:name="s5.6-delivery-and-scientific-readiness"/>
    <w:p>
      <w:pPr>
        <w:pStyle w:val="Heading3"/>
      </w:pPr>
      <w:r>
        <w:t xml:space="preserve">S5.6 Delivery and scientific readiness</w:t>
      </w:r>
    </w:p>
    <w:p>
      <w:pPr>
        <w:pStyle w:val="FirstParagraph"/>
      </w:pPr>
      <w:r>
        <w:t xml:space="preserve">The present supplement is complete for inspection at its declared finite scope. The full release contains the exact new code and data plus the supplied audit and baseline archive. A short manuscript-only review necessarily cannot certify those absent files, and no claim in the text turns that limitation into disconfirmation. Source parity, render inspection, archive integrity and scientific correctness are separate checks, recorded in the release verification report.</w:t>
      </w:r>
    </w:p>
    <w:p>
      <w:pPr>
        <w:pStyle w:val="BodyText"/>
      </w:pPr>
      <w:r>
        <w:t xml:space="preserve">The new uniform-cover theorem is a conditional mathematical corollary of known concentration and covering arguments. Its novelty and physical relevance remain open. The broad AIU inquiry neither inherits empirical confirmation from it nor is refuted by a poor finite-size bound.</w:t>
      </w:r>
    </w:p>
    <w:bookmarkEnd w:id="41"/>
    <w:bookmarkStart w:id="42" w:name="Xad1146d6b22e690032c7ae563e999d70af0ea47"/>
    <w:p>
      <w:pPr>
        <w:pStyle w:val="Heading3"/>
      </w:pPr>
      <w:r>
        <w:t xml:space="preserve">S5.7 Maintenance patch and separate source-off execution</w:t>
      </w:r>
    </w:p>
    <w:p>
      <w:pPr>
        <w:pStyle w:val="FirstParagraph"/>
      </w:pPr>
      <w:r>
        <w:t xml:space="preserve">Appendix C of the methods paper retains the archived v1.5 2,000-draw twirl result (mean 0.0557464152; standard error 0.0007264476). CAL-1.6 used 1,200 draws instead (mean 0.05550839355; standard error 0.00093479233), with exact target 0.056. These are two calibration samples, not a conflict or one enlarged study. The historical data paths identify them separately.</w:t>
      </w:r>
    </w:p>
    <w:p>
      <w:pPr>
        <w:pStyle w:val="BodyText"/>
      </w:pPr>
      <w:r>
        <w:t xml:space="preserve">P01-ID1 is a new finite computational pilot with 96 independent model units at each of four and six sites. Each unit supplies two paired injection arms and paired evolution-on/frozen controls. Its primary outcome is a baseline-subtracted checkpoint-average local-readability contrast, not persistent redundancy, the older LRA-count target, or a recovered TPS. Full trajectories, model coefficients, random-stream identifiers, configuration and code hashes are in</w:t>
      </w:r>
      <w:r>
        <w:t xml:space="preserve"> </w:t>
      </w:r>
      <w:r>
        <w:rPr>
          <w:rStyle w:val="VerbatimChar"/>
        </w:rPr>
        <w:t xml:space="preserve">data/pilot_run/</w:t>
      </w:r>
      <w:r>
        <w:t xml:space="preserve">; the specification and local pre-execution receipt are in</w:t>
      </w:r>
      <w:r>
        <w:t xml:space="preserve"> </w:t>
      </w:r>
      <w:r>
        <w:rPr>
          <w:rStyle w:val="VerbatimChar"/>
        </w:rPr>
        <w:t xml:space="preserve">pilot/</w:t>
      </w:r>
      <w:r>
        <w:t xml:space="preserve">. The specialist review was not sent and no external validation is claimed.</w:t>
      </w:r>
    </w:p>
    <w:p>
      <w:pPr>
        <w:pStyle w:val="BodyText"/>
      </w:pPr>
      <w:r>
        <w:t xml:space="preserve">The main solver diagonalizes each internal Hamiltonian.</w:t>
      </w:r>
      <w:r>
        <w:t xml:space="preserve"> </w:t>
      </w:r>
      <w:r>
        <w:rPr>
          <w:rStyle w:val="VerbatimChar"/>
        </w:rPr>
        <w:t xml:space="preserve">code/validate_injection_pilot.py</w:t>
      </w:r>
      <w:r>
        <w:t xml:space="preserve"> </w:t>
      </w:r>
      <w:r>
        <w:t xml:space="preserve">independently checks selected trajectories with exponential action and a full-density-matrix partial trace. It also checks exact transport, source-free global distinguishability, zero evolution, passive conjugation and closed stationary records. Its finite-precision agreement is not a rigorous roundoff enclosure. Persistence classifications are conditional on the explicitly empirical numerical guard; failed certificates are not absent records.</w:t>
      </w:r>
    </w:p>
    <w:p>
      <w:pPr>
        <w:pStyle w:val="BodyText"/>
      </w:pPr>
      <w:r>
        <w:t xml:space="preserve">Reproduction of the new pilot from an empty directory:</w:t>
      </w:r>
    </w:p>
    <w:p>
      <w:pPr>
        <w:pStyle w:val="SourceCode"/>
      </w:pPr>
      <w:r>
        <w:rPr>
          <w:rStyle w:val="VerbatimChar"/>
        </w:rPr>
        <w:t xml:space="preserve">OPENBLAS_NUM_THREADS=1 OMP_NUM_THREADS=1 python code/run_injection_pilot.py --config pilot/config.json --out /path/to/fresh_run</w:t>
      </w:r>
      <w:r>
        <w:br/>
      </w:r>
      <w:r>
        <w:rPr>
          <w:rStyle w:val="VerbatimChar"/>
        </w:rPr>
        <w:t xml:space="preserve">python code/validate_injection_pilot.py --root /path/to/extracted_patch</w:t>
      </w:r>
    </w:p>
    <w:p>
      <w:pPr>
        <w:pStyle w:val="FirstParagraph"/>
      </w:pPr>
      <w:r>
        <w:t xml:space="preserve">The validator reads the delivered</w:t>
      </w:r>
      <w:r>
        <w:t xml:space="preserve"> </w:t>
      </w:r>
      <w:r>
        <w:rPr>
          <w:rStyle w:val="VerbatimChar"/>
        </w:rPr>
        <w:t xml:space="preserve">data/pilot_run</w:t>
      </w:r>
      <w:r>
        <w:t xml:space="preserve"> </w:t>
      </w:r>
      <w:r>
        <w:t xml:space="preserve">by default. To validate a replay, place that replay at the same relative path in a separate extracted copy. Do not overwrite the delivered evidence. The code and effective configuration specify all model parameters; no unused fields are silently accepted.</w:t>
      </w:r>
    </w:p>
    <w:bookmarkEnd w:id="42"/>
    <w:bookmarkEnd w:id="43"/>
    <w:bookmarkStart w:id="45" w:name="references"/>
    <w:p>
      <w:pPr>
        <w:pStyle w:val="Heading2"/>
        <w:keepNext/>
      </w:pPr>
      <w:r>
        <w:t xml:space="preserve">References</w:t>
      </w:r>
    </w:p>
    <w:p>
      <w:pPr>
        <w:pStyle w:val="FirstParagraph"/>
      </w:pPr>
      <w:r>
        <w:t xml:space="preserve">Maurer, A., and Pontil, M. (2009). Empirical Bernstein Bounds and Sample Variance Penalization. COLT 2009.</w:t>
      </w:r>
      <w:r>
        <w:t xml:space="preserve"> </w:t>
      </w:r>
      <w:hyperlink r:id="rId44">
        <w:r>
          <w:rPr>
            <w:rStyle w:val="Hyperlink"/>
          </w:rPr>
          <w:t xml:space="preserve">https://arxiv.org/abs/0907.3740</w:t>
        </w:r>
      </w:hyperlink>
    </w:p>
    <w:bookmarkEnd w:id="45"/>
    <w:bookmarkEnd w:id="46"/>
    <w:sectPr>
      <w:headerReference w:type="default" r:id="rId9"/>
      <w:footerReference w:type="default" r:id="rId10"/>
      <w:pgSz w:w="11905" w:h="16838"/>
      <w:pgMar w:left="1037" w:right="1037" w:top="922" w:bottom="907" w:header="331" w:footer="3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Review edition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Frame-Aligned Records: Supplementary Information</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54" w:lineRule="auto"/>
    </w:pPr>
    <w:rPr>
      <w:rFonts w:ascii="Carlito" w:hAnsi="Carlito"/>
      <w:sz w:val="21"/>
    </w:rPr>
  </w:style>
  <w:style w:styleId="BodyText" w:type="paragraph">
    <w:name w:val="Body Text"/>
    <w:basedOn w:val="Normal"/>
    <w:link w:val="BodyTextChar"/>
    <w:qFormat/>
    <w:pPr>
      <w:widowControl/>
      <w:spacing w:after="100" w:before="180" w:line="254" w:lineRule="auto"/>
    </w:pPr>
    <w:rPr>
      <w:rFonts w:ascii="Carlito" w:hAnsi="Carlito"/>
      <w:sz w:val="21"/>
    </w:rPr>
  </w:style>
  <w:style w:customStyle="1" w:styleId="FirstParagraph" w:type="paragraph">
    <w:name w:val="First Paragraph"/>
    <w:basedOn w:val="BodyText"/>
    <w:next w:val="BodyText"/>
    <w:qFormat/>
    <w:pPr>
      <w:widowControl/>
      <w:spacing w:after="100" w:line="254" w:lineRule="auto"/>
    </w:pPr>
    <w:rPr>
      <w:rFonts w:ascii="Carlito" w:hAnsi="Carlito"/>
      <w:sz w:val="21"/>
    </w:rPr>
  </w:style>
  <w:style w:customStyle="1" w:styleId="Compact" w:type="paragraph">
    <w:name w:val="Compact"/>
    <w:basedOn w:val="BodyText"/>
    <w:qFormat/>
    <w:pPr>
      <w:widowControl/>
      <w:spacing w:after="100" w:before="36" w:line="254" w:lineRule="auto"/>
    </w:pPr>
    <w:rPr>
      <w:rFonts w:ascii="Carlito" w:hAnsi="Carlito"/>
      <w:sz w:val="21"/>
    </w:rPr>
  </w:style>
  <w:style w:styleId="Title" w:type="paragraph">
    <w:name w:val="Title"/>
    <w:basedOn w:val="Normal"/>
    <w:next w:val="BodyText"/>
    <w:qFormat/>
    <w:pPr>
      <w:keepNext/>
      <w:keepLines/>
      <w:widowControl/>
      <w:spacing w:after="120" w:before="220" w:line="254" w:lineRule="auto"/>
      <w:jc w:val="center"/>
    </w:pPr>
    <w:rPr>
      <w:rFonts w:asciiTheme="majorHAnsi" w:cstheme="majorBidi" w:eastAsiaTheme="majorEastAsia" w:hAnsiTheme="majorHAnsi" w:ascii="Carlito" w:hAnsi="Carlito"/>
      <w:b w:val="0"/>
      <w:bCs/>
      <w:color w:val="253C50"/>
      <w:sz w:val="46"/>
      <w:szCs w:val="36"/>
    </w:rPr>
  </w:style>
  <w:style w:styleId="Subtitle" w:type="paragraph">
    <w:name w:val="Subtitle"/>
    <w:basedOn w:val="Title"/>
    <w:next w:val="BodyText"/>
    <w:qFormat/>
    <w:pPr>
      <w:keepNext/>
      <w:keepLines/>
      <w:widowControl/>
      <w:spacing w:after="120" w:before="220" w:line="254" w:lineRule="auto"/>
      <w:jc w:val="center"/>
    </w:pPr>
    <w:rPr>
      <w:rFonts w:ascii="Carlito" w:hAnsi="Carlito"/>
      <w:b w:val="0"/>
      <w:color w:val="253C50"/>
      <w:sz w:val="28"/>
      <w:szCs w:val="30"/>
    </w:rPr>
  </w:style>
  <w:style w:customStyle="1" w:styleId="Author" w:type="paragraph">
    <w:name w:val="Author"/>
    <w:next w:val="BodyText"/>
    <w:qFormat/>
    <w:pPr>
      <w:keepNext/>
      <w:keepLines/>
      <w:widowControl/>
      <w:spacing w:after="100" w:line="254" w:lineRule="auto"/>
      <w:jc w:val="center"/>
    </w:pPr>
    <w:rPr>
      <w:rFonts w:ascii="Carlito" w:hAnsi="Carlito"/>
      <w:sz w:val="21"/>
    </w:rPr>
  </w:style>
  <w:style w:styleId="Date" w:type="paragraph">
    <w:name w:val="Date"/>
    <w:next w:val="BodyText"/>
    <w:qFormat/>
    <w:pPr>
      <w:keepNext/>
      <w:keepLines/>
      <w:widowControl/>
      <w:spacing w:after="100" w:line="254" w:lineRule="auto"/>
      <w:jc w:val="center"/>
    </w:pPr>
    <w:rPr>
      <w:rFonts w:ascii="Carlito" w:hAnsi="Carlito"/>
      <w:sz w:val="21"/>
    </w:rPr>
  </w:style>
  <w:style w:customStyle="1" w:styleId="AbstractTitle" w:type="paragraph">
    <w:name w:val="Abstract Title"/>
    <w:basedOn w:val="Normal"/>
    <w:next w:val="Abstract"/>
    <w:qFormat/>
    <w:pPr>
      <w:keepNext/>
      <w:keepLines/>
      <w:widowControl/>
      <w:spacing w:after="100" w:before="300" w:line="254" w:lineRule="auto"/>
      <w:jc w:val="center"/>
    </w:pPr>
    <w:rPr>
      <w:rFonts w:ascii="Carlito" w:hAnsi="Carlito"/>
      <w:b/>
      <w:color w:val="345A8A"/>
      <w:sz w:val="21"/>
      <w:szCs w:val="20"/>
    </w:rPr>
  </w:style>
  <w:style w:customStyle="1" w:styleId="Abstract" w:type="paragraph">
    <w:name w:val="Abstract"/>
    <w:basedOn w:val="Normal"/>
    <w:next w:val="BodyText"/>
    <w:qFormat/>
    <w:pPr>
      <w:keepNext/>
      <w:keepLines/>
      <w:widowControl/>
      <w:spacing w:after="100" w:before="100" w:line="254" w:lineRule="auto"/>
    </w:pPr>
    <w:rPr>
      <w:rFonts w:ascii="Carlito" w:hAnsi="Carlito"/>
      <w:sz w:val="21"/>
      <w:szCs w:val="20"/>
    </w:rPr>
  </w:style>
  <w:style w:styleId="Bibliography" w:type="paragraph">
    <w:name w:val="Bibliography"/>
    <w:basedOn w:val="Normal"/>
    <w:next w:val="Bibliography"/>
    <w:qFormat/>
    <w:pPr>
      <w:widowControl/>
      <w:spacing w:after="100" w:line="254" w:lineRule="auto"/>
    </w:pPr>
    <w:rPr>
      <w:rFonts w:ascii="Carlito" w:hAnsi="Carlito"/>
      <w:sz w:val="21"/>
    </w:rPr>
  </w:style>
  <w:style w:styleId="Heading1" w:type="paragraph">
    <w:name w:val="Heading 1"/>
    <w:basedOn w:val="Normal"/>
    <w:next w:val="BodyText"/>
    <w:uiPriority w:val="9"/>
    <w:qFormat/>
    <w:pPr>
      <w:keepNext/>
      <w:keepLines/>
      <w:widowControl/>
      <w:spacing w:after="120" w:before="220" w:line="254" w:lineRule="auto"/>
      <w:outlineLvl w:val="0"/>
    </w:pPr>
    <w:rPr>
      <w:rFonts w:asciiTheme="majorHAnsi" w:cstheme="majorBidi" w:eastAsiaTheme="majorEastAsia" w:hAnsiTheme="majorHAnsi" w:ascii="Carlito" w:hAnsi="Carlito"/>
      <w:b/>
      <w:bCs/>
      <w:color w:val="253C50"/>
      <w:sz w:val="30"/>
      <w:szCs w:val="32"/>
    </w:rPr>
  </w:style>
  <w:style w:styleId="Heading2" w:type="paragraph">
    <w:name w:val="Heading 2"/>
    <w:basedOn w:val="Normal"/>
    <w:next w:val="BodyText"/>
    <w:uiPriority w:val="9"/>
    <w:unhideWhenUsed/>
    <w:qFormat/>
    <w:pPr>
      <w:keepNext/>
      <w:keepLines/>
      <w:widowControl/>
      <w:spacing w:after="120" w:before="220" w:line="254" w:lineRule="auto"/>
      <w:outlineLvl w:val="1"/>
    </w:pPr>
    <w:rPr>
      <w:rFonts w:asciiTheme="majorHAnsi" w:cstheme="majorBidi" w:eastAsiaTheme="majorEastAsia" w:hAnsiTheme="majorHAnsi" w:ascii="Carlito" w:hAnsi="Carlito"/>
      <w:b/>
      <w:bCs/>
      <w:color w:val="253C50"/>
      <w:sz w:val="24"/>
      <w:szCs w:val="28"/>
    </w:rPr>
  </w:style>
  <w:style w:styleId="Heading3" w:type="paragraph">
    <w:name w:val="Heading 3"/>
    <w:basedOn w:val="Normal"/>
    <w:next w:val="BodyText"/>
    <w:uiPriority w:val="9"/>
    <w:unhideWhenUsed/>
    <w:qFormat/>
    <w:pPr>
      <w:keepNext/>
      <w:keepLines/>
      <w:widowControl/>
      <w:spacing w:after="120" w:before="220" w:line="254" w:lineRule="auto"/>
      <w:outlineLvl w:val="2"/>
    </w:pPr>
    <w:rPr>
      <w:rFonts w:asciiTheme="majorHAnsi" w:cstheme="majorBidi" w:eastAsiaTheme="majorEastAsia" w:hAnsiTheme="majorHAnsi" w:ascii="Carlito" w:hAnsi="Carlito"/>
      <w:b/>
      <w:bCs/>
      <w:color w:val="253C50"/>
      <w:sz w:val="22"/>
      <w:szCs w:val="24"/>
    </w:rPr>
  </w:style>
  <w:style w:styleId="Heading4" w:type="paragraph">
    <w:name w:val="Heading 4"/>
    <w:basedOn w:val="Normal"/>
    <w:next w:val="BodyText"/>
    <w:uiPriority w:val="9"/>
    <w:unhideWhenUsed/>
    <w:qFormat/>
    <w:pPr>
      <w:keepNext/>
      <w:keepLines/>
      <w:widowControl/>
      <w:spacing w:after="100" w:before="200" w:line="254" w:lineRule="auto"/>
      <w:outlineLvl w:val="3"/>
    </w:pPr>
    <w:rPr>
      <w:rFonts w:asciiTheme="majorHAnsi" w:cstheme="majorBidi" w:eastAsiaTheme="majorEastAsia" w:hAnsiTheme="majorHAnsi" w:ascii="Carlito" w:hAnsi="Carlito"/>
      <w:bCs/>
      <w:i/>
      <w:color w:themeColor="accent1" w:val="4F81BD"/>
      <w:sz w:val="21"/>
      <w:szCs w:val="24"/>
    </w:rPr>
  </w:style>
  <w:style w:styleId="Heading5" w:type="paragraph">
    <w:name w:val="Heading 5"/>
    <w:basedOn w:val="Normal"/>
    <w:next w:val="BodyText"/>
    <w:uiPriority w:val="9"/>
    <w:unhideWhenUsed/>
    <w:qFormat/>
    <w:pPr>
      <w:keepNext/>
      <w:keepLines/>
      <w:widowControl/>
      <w:spacing w:after="100" w:before="200" w:line="254" w:lineRule="auto"/>
      <w:outlineLvl w:val="4"/>
    </w:pPr>
    <w:rPr>
      <w:rFonts w:asciiTheme="majorHAnsi" w:cstheme="majorBidi" w:eastAsiaTheme="majorEastAsia" w:hAnsiTheme="majorHAnsi" w:ascii="Carlito" w:hAnsi="Carlito"/>
      <w:iCs/>
      <w:color w:themeColor="accent1" w:val="4F81BD"/>
      <w:sz w:val="21"/>
      <w:szCs w:val="24"/>
    </w:rPr>
  </w:style>
  <w:style w:styleId="Heading6" w:type="paragraph">
    <w:name w:val="Heading 6"/>
    <w:basedOn w:val="Normal"/>
    <w:next w:val="BodyText"/>
    <w:uiPriority w:val="9"/>
    <w:unhideWhenUsed/>
    <w:qFormat/>
    <w:pPr>
      <w:keepNext/>
      <w:keepLines/>
      <w:widowControl/>
      <w:spacing w:after="100" w:before="200" w:line="254" w:lineRule="auto"/>
      <w:outlineLvl w:val="5"/>
    </w:pPr>
    <w:rPr>
      <w:rFonts w:asciiTheme="majorHAnsi" w:cstheme="majorBidi" w:eastAsiaTheme="majorEastAsia" w:hAnsiTheme="majorHAnsi" w:ascii="Carlito" w:hAnsi="Carlito"/>
      <w:color w:themeColor="accent1" w:val="4F81BD"/>
      <w:sz w:val="21"/>
      <w:szCs w:val="24"/>
    </w:rPr>
  </w:style>
  <w:style w:styleId="Heading7" w:type="paragraph">
    <w:name w:val="Heading 7"/>
    <w:basedOn w:val="Normal"/>
    <w:next w:val="BodyText"/>
    <w:uiPriority w:val="9"/>
    <w:unhideWhenUsed/>
    <w:qFormat/>
    <w:pPr>
      <w:keepNext/>
      <w:keepLines/>
      <w:widowControl/>
      <w:spacing w:after="100" w:before="200" w:line="254" w:lineRule="auto"/>
      <w:outlineLvl w:val="6"/>
    </w:pPr>
    <w:rPr>
      <w:rFonts w:asciiTheme="majorHAnsi" w:cstheme="majorBidi" w:eastAsiaTheme="majorEastAsia" w:hAnsiTheme="majorHAnsi" w:ascii="Carlito" w:hAnsi="Carlito"/>
      <w:color w:themeColor="accent1" w:val="4F81BD"/>
      <w:sz w:val="21"/>
      <w:szCs w:val="24"/>
    </w:rPr>
  </w:style>
  <w:style w:styleId="Heading8" w:type="paragraph">
    <w:name w:val="Heading 8"/>
    <w:basedOn w:val="Normal"/>
    <w:next w:val="BodyText"/>
    <w:uiPriority w:val="9"/>
    <w:unhideWhenUsed/>
    <w:qFormat/>
    <w:pPr>
      <w:keepNext/>
      <w:keepLines/>
      <w:widowControl/>
      <w:spacing w:after="100" w:before="200" w:line="254" w:lineRule="auto"/>
      <w:outlineLvl w:val="7"/>
    </w:pPr>
    <w:rPr>
      <w:rFonts w:asciiTheme="majorHAnsi" w:cstheme="majorBidi" w:eastAsiaTheme="majorEastAsia" w:hAnsiTheme="majorHAnsi" w:ascii="Carlito" w:hAnsi="Carlito"/>
      <w:color w:themeColor="accent1" w:val="4F81BD"/>
      <w:sz w:val="21"/>
      <w:szCs w:val="24"/>
    </w:rPr>
  </w:style>
  <w:style w:styleId="Heading9" w:type="paragraph">
    <w:name w:val="Heading 9"/>
    <w:basedOn w:val="Normal"/>
    <w:next w:val="BodyText"/>
    <w:uiPriority w:val="9"/>
    <w:unhideWhenUsed/>
    <w:qFormat/>
    <w:pPr>
      <w:keepNext/>
      <w:keepLines/>
      <w:widowControl/>
      <w:spacing w:after="100" w:before="200" w:line="254" w:lineRule="auto"/>
      <w:outlineLvl w:val="8"/>
    </w:pPr>
    <w:rPr>
      <w:rFonts w:asciiTheme="majorHAnsi" w:cstheme="majorBidi" w:eastAsiaTheme="majorEastAsia" w:hAnsiTheme="majorHAnsi" w:ascii="Carlito" w:hAnsi="Carlito"/>
      <w:color w:themeColor="accent1" w:val="4F81BD"/>
      <w:sz w:val="21"/>
      <w:szCs w:val="24"/>
    </w:rPr>
  </w:style>
  <w:style w:styleId="BlockText" w:type="paragraph">
    <w:name w:val="Block Text"/>
    <w:basedOn w:val="BodyText"/>
    <w:next w:val="BodyText"/>
    <w:uiPriority w:val="9"/>
    <w:unhideWhenUsed/>
    <w:qFormat/>
    <w:pPr>
      <w:widowControl/>
      <w:spacing w:after="100" w:before="100" w:line="254" w:lineRule="auto"/>
      <w:ind w:firstLine="0" w:left="480" w:right="480"/>
    </w:pPr>
    <w:rPr>
      <w:rFonts w:ascii="Carlito" w:hAnsi="Carlito"/>
      <w:sz w:val="21"/>
    </w:rPr>
  </w:style>
  <w:style w:styleId="FootnoteText" w:type="paragraph">
    <w:name w:val="Footnote Text"/>
    <w:basedOn w:val="Normal"/>
    <w:next w:val="FootnoteText"/>
    <w:uiPriority w:val="9"/>
    <w:unhideWhenUsed/>
    <w:qFormat/>
    <w:pPr>
      <w:widowControl/>
      <w:spacing w:after="100" w:line="254" w:lineRule="auto"/>
    </w:pPr>
    <w:rPr>
      <w:rFonts w:ascii="Carlito" w:hAnsi="Carlito"/>
      <w:sz w:val="21"/>
    </w:rPr>
  </w:style>
  <w:style w:styleId="FootnoteBlockText" w:type="paragraph">
    <w:name w:val="Footnote Block Text"/>
    <w:basedOn w:val="Footnote Text"/>
    <w:next w:val="Footnote Text"/>
    <w:uiPriority w:val="9"/>
    <w:unhideWhenUsed/>
    <w:qFormat/>
    <w:pPr>
      <w:widowControl/>
      <w:spacing w:after="100" w:before="100" w:line="254" w:lineRule="auto"/>
      <w:ind w:firstLine="0" w:left="480" w:right="480"/>
    </w:pPr>
    <w:rPr>
      <w:rFonts w:ascii="Carlito" w:hAnsi="Carlito"/>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widowControl/>
      <w:spacing w:after="100" w:line="254" w:lineRule="auto"/>
    </w:pPr>
    <w:rPr>
      <w:rFonts w:ascii="Carlito" w:hAnsi="Carlito"/>
      <w:b/>
      <w:sz w:val="21"/>
    </w:rPr>
  </w:style>
  <w:style w:customStyle="1" w:styleId="Definition" w:type="paragraph">
    <w:name w:val="Definition"/>
    <w:basedOn w:val="Normal"/>
    <w:pPr>
      <w:widowControl/>
      <w:spacing w:after="100" w:line="254" w:lineRule="auto"/>
    </w:pPr>
    <w:rPr>
      <w:rFonts w:ascii="Carlito" w:hAnsi="Carlito"/>
      <w:sz w:val="21"/>
    </w:rPr>
  </w:style>
  <w:style w:styleId="Caption" w:type="paragraph">
    <w:name w:val="Caption"/>
    <w:basedOn w:val="Normal"/>
    <w:link w:val="BodyTextChar"/>
    <w:pPr>
      <w:widowControl/>
      <w:spacing w:after="100" w:before="0" w:line="254" w:lineRule="auto"/>
    </w:pPr>
    <w:rPr>
      <w:rFonts w:ascii="Carlito" w:hAnsi="Carlito"/>
      <w:i/>
      <w:sz w:val="21"/>
    </w:rPr>
  </w:style>
  <w:style w:customStyle="1" w:styleId="TableCaption" w:type="paragraph">
    <w:name w:val="Table Caption"/>
    <w:basedOn w:val="Caption"/>
    <w:pPr>
      <w:keepNext/>
      <w:widowControl/>
      <w:spacing w:after="100" w:line="254" w:lineRule="auto"/>
    </w:pPr>
    <w:rPr>
      <w:rFonts w:ascii="Carlito" w:hAnsi="Carlito"/>
      <w:sz w:val="21"/>
    </w:rPr>
  </w:style>
  <w:style w:customStyle="1" w:styleId="ImageCaption" w:type="paragraph">
    <w:name w:val="Image Caption"/>
    <w:basedOn w:val="Caption"/>
    <w:pPr>
      <w:widowControl/>
      <w:spacing w:after="100" w:line="254" w:lineRule="auto"/>
    </w:pPr>
    <w:rPr>
      <w:rFonts w:ascii="Carlito" w:hAnsi="Carlito"/>
      <w:sz w:val="21"/>
    </w:rPr>
  </w:style>
  <w:style w:customStyle="1" w:styleId="Figure" w:type="paragraph">
    <w:name w:val="Figure"/>
    <w:basedOn w:val="Normal"/>
    <w:pPr>
      <w:widowControl/>
      <w:spacing w:after="100" w:line="254" w:lineRule="auto"/>
    </w:pPr>
    <w:rPr>
      <w:rFonts w:ascii="Carlito" w:hAnsi="Carlito"/>
      <w:sz w:val="21"/>
    </w:rPr>
  </w:style>
  <w:style w:customStyle="1" w:styleId="CaptionedFigure" w:type="paragraph">
    <w:name w:val="Captioned Figure"/>
    <w:basedOn w:val="Figure"/>
    <w:pPr>
      <w:keepNext/>
      <w:widowControl/>
      <w:spacing w:after="100" w:line="254" w:lineRule="auto"/>
    </w:pPr>
    <w:rPr>
      <w:rFonts w:ascii="Carlito" w:hAnsi="Carlito"/>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hAnsi="DejaVu Sans Mono"/>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4" w:lineRule="auto" w:after="100"/>
      <w:outlineLvl w:val="9"/>
    </w:pPr>
    <w:rPr>
      <w:rFonts w:asciiTheme="majorHAnsi" w:cstheme="majorBidi" w:eastAsiaTheme="majorEastAsia" w:hAnsiTheme="majorHAnsi" w:ascii="Carlito" w:hAnsi="Carlito"/>
      <w:b w:val="0"/>
      <w:bCs w:val="0"/>
      <w:color w:themeColor="accent1" w:themeShade="BF" w:val="365F91"/>
      <w:sz w:val="21"/>
    </w:rPr>
  </w:style>
  <w:style w:type="paragraph" w:customStyle="1" w:styleId="SourceCode">
    <w:name w:val="Source Code"/>
    <w:basedOn w:val="Normal"/>
    <w:link w:val="VerbatimChar"/>
    <w:pPr>
      <w:widowControl/>
      <w:wordWrap w:val="off"/>
      <w:spacing w:after="100" w:line="254" w:lineRule="auto"/>
    </w:pP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CaptionedFigure">
    <w:name w:val="CaptionedFigure"/>
  </w:style>
  <w:style w:type="paragraph" w:customStyle="1" w:styleId="footer">
    <w:name w:val="footer"/>
    <w:rPr>
      <w:rFonts w:ascii="Carlito" w:hAnsi="Carlito"/>
      <w:sz w:val="16"/>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4" Type="http://schemas.openxmlformats.org/officeDocument/2006/relationships/hyperlink" Target="https://arxiv.org/abs/0907.3740"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44" Type="http://schemas.openxmlformats.org/officeDocument/2006/relationships/hyperlink" Target="https://arxiv.org/abs/0907.37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Frame-Aligned Records: Supplementary Information</dc:title>
  <dc:creator>James McGaughran</dc:creator>
  <cp:keywords/>
  <dcterms:created xsi:type="dcterms:W3CDTF">2026-09-26T11:16:32Z</dcterms:created>
  <dcterms:modified xsi:type="dcterms:W3CDTF">2026-09-26T11:16:32Z</dcterms:modified>
  <dc:subject>ORSH/AIU v1.8 external review edition; canonical source Frame_Aligned_Records_Supplement_v1_2.md</dc:subject>
  <dc:description>Generated from the supplied canonical Markdown; not an independent prose source.</dc:description>
</cp:coreProperties>
</file>

<file path=docProps/custom.xml><?xml version="1.0" encoding="utf-8"?>
<Properties xmlns="http://schemas.openxmlformats.org/officeDocument/2006/custom-properties" xmlns:vt="http://schemas.openxmlformats.org/officeDocument/2006/docPropsVTypes"/>
</file>