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80169a4c16dca072bfb9f17500453b71ae26fa4"/>
    <w:p>
      <w:pPr>
        <w:pStyle w:val="Title"/>
      </w:pPr>
      <w:r>
        <w:t xml:space="preserve">P01: source-off information redistribution</w:t>
      </w:r>
    </w:p>
    <w:bookmarkStart w:id="20" w:name="X3f861c64952a288dc3495db5ec73e56b6f27f71"/>
    <w:p>
      <w:pPr>
        <w:pStyle w:val="Heading2"/>
      </w:pPr>
      <w:r>
        <w:t xml:space="preserve">A bounded feasibility pilot, not a recovered geometry</w:t>
      </w:r>
    </w:p>
    <w:p>
      <w:pPr>
        <w:pStyle w:val="FirstParagraph"/>
      </w:pPr>
      <w:r>
        <w:rPr>
          <w:b/>
          <w:bCs/>
        </w:rPr>
        <w:t xml:space="preserve">P01 reader edition v1.3 | 26 September 2026</w:t>
      </w:r>
    </w:p>
    <w:p>
      <w:pPr>
        <w:pStyle w:val="BodyText"/>
      </w:pPr>
      <w:r>
        <w:rPr>
          <w:b/>
          <w:bCs/>
        </w:rPr>
        <w:t xml:space="preserve">Publication note.</w:t>
      </w:r>
      <w:r>
        <w:t xml:space="preserve"> </w:t>
      </w:r>
      <w:r>
        <w:t xml:space="preserve">This reader edition updates terminology only. The executed scientific specification and local freeze remain those of protocol v1.2, preserved byte-for-byte in</w:t>
      </w:r>
      <w:r>
        <w:t xml:space="preserve"> </w:t>
      </w:r>
      <w:r>
        <w:rPr>
          <w:rStyle w:val="VerbatimChar"/>
        </w:rPr>
        <w:t xml:space="preserve">historical/v1_7_core/protocols/P01_Post_Injection_Pilot_v1_2.md</w:t>
      </w:r>
      <w:r>
        <w:t xml:space="preserve">. Later review-stage factorial controls are not additions to the original pre-execution plan. Their specification, scripts and outcomes are separately supplied.</w:t>
      </w:r>
    </w:p>
    <w:p>
      <w:pPr>
        <w:pStyle w:val="BodyText"/>
      </w:pPr>
      <w:r>
        <w:rPr>
          <w:b/>
          <w:bCs/>
        </w:rPr>
        <w:t xml:space="preserve">Status.</w:t>
      </w:r>
      <w:r>
        <w:t xml:space="preserve"> </w:t>
      </w:r>
      <w:r>
        <w:t xml:space="preserve">P01-ID1 is executed. Its local pre-execution plan, configuration and hashes are supplied. This is a pre-specified exploratory computational study, not external preregistration, a laboratory experiment or a confirmatory test of the older LRA hypotheses. The outcomes are in the separate results log. The v1.1 protocol and original manuscripts remain unchanged in the historical record.</w:t>
      </w:r>
    </w:p>
    <w:bookmarkEnd w:id="20"/>
    <w:bookmarkStart w:id="21" w:name="the-revised-question"/>
    <w:p>
      <w:pPr>
        <w:pStyle w:val="Heading2"/>
      </w:pPr>
      <w:r>
        <w:t xml:space="preserve">1. The revised question</w:t>
      </w:r>
    </w:p>
    <w:p>
      <w:pPr>
        <w:pStyle w:val="FirstParagraph"/>
      </w:pPr>
      <w:r>
        <w:t xml:space="preserve">Once a controlled external source has injected information and has been decoupled, does internal evolution shift average single-site accessibility toward the supplied internal-locality frame, relative to the supplied injection frame and a paired no-evolution control? This question separates the initial source interaction from later redistribution. It does not assume that the preparation imprint disappears or that redundant records must develop.</w:t>
      </w:r>
    </w:p>
    <w:p>
      <w:pPr>
        <w:pStyle w:val="BodyText"/>
      </w:pPr>
      <w:r>
        <w:t xml:space="preserve">The previous continuously driven comparison is retained as a control question, not treated as a compulsory primary experiment. For a common initial state, the first derivative of the branch difference depends on</w:t>
      </w:r>
      <w:r>
        <w:t xml:space="preserve"> </w:t>
      </w:r>
      <m:oMath>
        <m:sSub>
          <m:e>
            <m:r>
              <m:t>K</m:t>
            </m:r>
          </m:e>
          <m:sub>
            <m:r>
              <m:t>0</m:t>
            </m:r>
          </m:sub>
        </m:sSub>
        <m:r>
          <m:rPr>
            <m:sty m:val="p"/>
          </m:rPr>
          <m:t>−</m:t>
        </m:r>
        <m:sSub>
          <m:e>
            <m:r>
              <m:t>K</m:t>
            </m:r>
          </m:e>
          <m:sub>
            <m:r>
              <m:t>1</m:t>
            </m:r>
          </m:sub>
        </m:sSub>
      </m:oMath>
      <w:r>
        <w:t xml:space="preserve">, with the common internal Hamiltonian cancelling. That fact does not determine a later winning frame. The primary target below is a different quantity from LRA-count, LRA-int and LRA-tot.</w:t>
      </w:r>
    </w:p>
    <w:bookmarkEnd w:id="21"/>
    <w:bookmarkStart w:id="22" w:name="complete-model-specification"/>
    <w:p>
      <w:pPr>
        <w:pStyle w:val="Heading2"/>
      </w:pPr>
      <w:r>
        <w:t xml:space="preserve">2. Complete model specification</w:t>
      </w:r>
    </w:p>
    <w:p>
      <w:pPr>
        <w:pStyle w:val="FirstParagraph"/>
        <w:keepNext/>
      </w:pPr>
      <w:r>
        <w:rPr>
          <w:b/>
          <w:bCs/>
        </w:rPr>
        <w:t xml:space="preserve">Table 1. Fixed inputs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Element</w:t>
            </w:r>
          </w:p>
        </w:tc>
        <w:tc>
          <w:tcPr>
            <w:shd w:fill="EAF0F4"/>
            <w:tcW w:type="dxa" w:w="3834"/>
            <w:vAlign w:val="top"/>
          </w:tcPr>
          <w:p>
            <w:pPr>
              <w:pStyle w:val="Compact"/>
              <w:spacing w:after="60" w:line="240" w:lineRule="auto"/>
              <w:jc w:val="left"/>
            </w:pPr>
            <w:r>
              <w:rPr>
                <w:rFonts w:ascii="Carlito" w:hAnsi="Carlito"/>
                <w:b/>
                <w:sz w:val="18"/>
              </w:rPr>
              <w:t xml:space="preserve">Implementation</w:t>
            </w:r>
          </w:p>
        </w:tc>
        <w:tc>
          <w:tcPr>
            <w:shd w:fill="EAF0F4"/>
            <w:tcW w:type="dxa" w:w="3539"/>
            <w:vAlign w:val="top"/>
          </w:tcPr>
          <w:p>
            <w:pPr>
              <w:pStyle w:val="Compact"/>
              <w:spacing w:after="60" w:line="240" w:lineRule="auto"/>
              <w:jc w:val="left"/>
            </w:pPr>
            <w:r>
              <w:rPr>
                <w:rFonts w:ascii="Carlito" w:hAnsi="Carlito"/>
                <w:b/>
                <w:sz w:val="18"/>
              </w:rPr>
              <w:t xml:space="preserve">Limitation</w:t>
            </w:r>
          </w:p>
        </w:tc>
      </w:tr>
      <w:tr>
        <w:trPr>
          <w:cantSplit/>
        </w:trPr>
        <w:tc>
          <w:tcPr>
            <w:tcW w:type="dxa" w:w="2458"/>
            <w:vAlign w:val="top"/>
          </w:tcPr>
          <w:p>
            <w:pPr>
              <w:pStyle w:val="Compact"/>
              <w:spacing w:after="60" w:line="240" w:lineRule="auto"/>
              <w:jc w:val="left"/>
            </w:pPr>
            <w:r>
              <w:rPr>
                <w:rFonts w:ascii="Carlito" w:hAnsi="Carlito"/>
                <w:sz w:val="18"/>
              </w:rPr>
              <w:t xml:space="preserve">System</w:t>
            </w:r>
          </w:p>
        </w:tc>
        <w:tc>
          <w:tcPr>
            <w:tcW w:type="dxa" w:w="3834"/>
            <w:vAlign w:val="top"/>
          </w:tcPr>
          <w:p>
            <w:pPr>
              <w:pStyle w:val="Compact"/>
              <w:spacing w:after="60" w:line="240" w:lineRule="auto"/>
              <w:jc w:val="left"/>
            </w:pPr>
            <w:r>
              <w:rPr>
                <w:rFonts w:ascii="Carlito" w:hAnsi="Carlito"/>
                <w:sz w:val="18"/>
              </w:rPr>
              <w:t xml:space="preserve">4 or 6 qubits, with a supplied nearest-neighbour chain</w:t>
            </w:r>
          </w:p>
        </w:tc>
        <w:tc>
          <w:tcPr>
            <w:tcW w:type="dxa" w:w="3539"/>
            <w:vAlign w:val="top"/>
          </w:tcPr>
          <w:p>
            <w:pPr>
              <w:pStyle w:val="Compact"/>
              <w:spacing w:after="60" w:line="240" w:lineRule="auto"/>
              <w:jc w:val="left"/>
            </w:pPr>
            <w:r>
              <w:rPr>
                <w:rFonts w:ascii="Carlito" w:hAnsi="Carlito"/>
                <w:sz w:val="18"/>
              </w:rPr>
              <w:t xml:space="preserve">The graph and tensor-product structure are inputs, not outputs</w:t>
            </w:r>
          </w:p>
        </w:tc>
      </w:tr>
      <w:tr>
        <w:trPr>
          <w:cantSplit/>
        </w:trPr>
        <w:tc>
          <w:tcPr>
            <w:tcW w:type="dxa" w:w="2458"/>
            <w:vAlign w:val="top"/>
          </w:tcPr>
          <w:p>
            <w:pPr>
              <w:pStyle w:val="Compact"/>
              <w:spacing w:after="60" w:line="240" w:lineRule="auto"/>
              <w:jc w:val="left"/>
            </w:pPr>
            <w:r>
              <w:rPr>
                <w:rFonts w:ascii="Carlito" w:hAnsi="Carlito"/>
                <w:sz w:val="18"/>
              </w:rPr>
              <w:t xml:space="preserve">Sampling</w:t>
            </w:r>
          </w:p>
        </w:tc>
        <w:tc>
          <w:tcPr>
            <w:tcW w:type="dxa" w:w="3834"/>
            <w:vAlign w:val="top"/>
          </w:tcPr>
          <w:p>
            <w:pPr>
              <w:pStyle w:val="Compact"/>
              <w:spacing w:after="60" w:line="240" w:lineRule="auto"/>
              <w:jc w:val="left"/>
            </w:pPr>
            <w:r>
              <w:rPr>
                <w:rFonts w:ascii="Carlito" w:hAnsi="Carlito"/>
                <w:sz w:val="18"/>
              </w:rPr>
              <w:t xml:space="preserve">96 independent Hamiltonian/circuit units at each size</w:t>
            </w:r>
          </w:p>
        </w:tc>
        <w:tc>
          <w:tcPr>
            <w:tcW w:type="dxa" w:w="3539"/>
            <w:vAlign w:val="top"/>
          </w:tcPr>
          <w:p>
            <w:pPr>
              <w:pStyle w:val="Compact"/>
              <w:spacing w:after="60" w:line="240" w:lineRule="auto"/>
              <w:jc w:val="left"/>
            </w:pPr>
            <w:r>
              <w:rPr>
                <w:rFonts w:ascii="Carlito" w:hAnsi="Carlito"/>
                <w:sz w:val="18"/>
              </w:rPr>
              <w:t xml:space="preserve">Sizes are separate populations; paired conditions are not extra independent units</w:t>
            </w:r>
          </w:p>
        </w:tc>
      </w:tr>
      <w:tr>
        <w:trPr>
          <w:cantSplit/>
        </w:trPr>
        <w:tc>
          <w:tcPr>
            <w:tcW w:type="dxa" w:w="2458"/>
            <w:vAlign w:val="top"/>
          </w:tcPr>
          <w:p>
            <w:pPr>
              <w:pStyle w:val="Compact"/>
              <w:spacing w:after="60" w:line="240" w:lineRule="auto"/>
              <w:jc w:val="left"/>
            </w:pPr>
            <w:r>
              <w:rPr>
                <w:rFonts w:ascii="Carlito" w:hAnsi="Carlito"/>
                <w:sz w:val="18"/>
              </w:rPr>
              <w:t xml:space="preserve">Hamiltonian</w:t>
            </w:r>
          </w:p>
        </w:tc>
        <w:tc>
          <w:tcPr>
            <w:tcW w:type="dxa" w:w="3834"/>
            <w:vAlign w:val="top"/>
          </w:tcPr>
          <w:p>
            <w:pPr>
              <w:pStyle w:val="Compact"/>
              <w:spacing w:after="60" w:line="240" w:lineRule="auto"/>
              <w:jc w:val="left"/>
            </w:pPr>
            <w:r>
              <w:rPr>
                <w:rFonts w:ascii="Carlito" w:hAnsi="Carlito"/>
                <w:sz w:val="18"/>
              </w:rPr>
              <w:t xml:space="preserve">Each XX, YY and ZZ bond coefficient is independent normal with variance 1/3; each X,Y,Z field is normal with standard deviation 0.35</w:t>
            </w:r>
          </w:p>
        </w:tc>
        <w:tc>
          <w:tcPr>
            <w:tcW w:type="dxa" w:w="3539"/>
            <w:vAlign w:val="top"/>
          </w:tcPr>
          <w:p>
            <w:pPr>
              <w:pStyle w:val="Compact"/>
              <w:spacing w:after="60" w:line="240" w:lineRule="auto"/>
              <w:jc w:val="left"/>
            </w:pPr>
            <w:r>
              <w:rPr>
                <w:rFonts w:ascii="Carlito" w:hAnsi="Carlito"/>
                <w:sz w:val="18"/>
              </w:rPr>
              <w:t xml:space="preserve">One explicit finite model family, not a distribution for nature</w:t>
            </w:r>
          </w:p>
        </w:tc>
      </w:tr>
      <w:tr>
        <w:trPr>
          <w:cantSplit/>
        </w:trPr>
        <w:tc>
          <w:tcPr>
            <w:tcW w:type="dxa" w:w="2458"/>
            <w:vAlign w:val="top"/>
          </w:tcPr>
          <w:p>
            <w:pPr>
              <w:pStyle w:val="Compact"/>
              <w:spacing w:after="60" w:line="240" w:lineRule="auto"/>
              <w:jc w:val="left"/>
            </w:pPr>
            <w:r>
              <w:rPr>
                <w:rFonts w:ascii="Carlito" w:hAnsi="Carlito"/>
                <w:sz w:val="18"/>
              </w:rPr>
              <w:t xml:space="preserve">Injection frame</w:t>
            </w:r>
          </w:p>
        </w:tc>
        <w:tc>
          <w:tcPr>
            <w:tcW w:type="dxa" w:w="3834"/>
            <w:vAlign w:val="top"/>
          </w:tcPr>
          <w:p>
            <w:pPr>
              <w:pStyle w:val="Compact"/>
              <w:spacing w:after="60" w:line="240" w:lineRule="auto"/>
              <w:jc w:val="left"/>
            </w:pPr>
            <w:r>
              <w:rPr>
                <w:rFonts w:ascii="Carlito" w:hAnsi="Carlito"/>
                <w:sz w:val="18"/>
              </w:rPr>
              <w:t xml:space="preserve">A depth-two adjacent-pair circuit with independent Haar two-qubit gates, independent of Hamiltonian coefficients</w:t>
            </w:r>
          </w:p>
        </w:tc>
        <w:tc>
          <w:tcPr>
            <w:tcW w:type="dxa" w:w="3539"/>
            <w:vAlign w:val="top"/>
          </w:tcPr>
          <w:p>
            <w:pPr>
              <w:pStyle w:val="Compact"/>
              <w:spacing w:after="60" w:line="240" w:lineRule="auto"/>
              <w:jc w:val="left"/>
            </w:pPr>
            <w:r>
              <w:rPr>
                <w:rFonts w:ascii="Carlito" w:hAnsi="Carlito"/>
                <w:sz w:val="18"/>
              </w:rPr>
              <w:t xml:space="preserve">This circuit family itself uses the supplied chain</w:t>
            </w:r>
          </w:p>
        </w:tc>
      </w:tr>
      <w:tr>
        <w:trPr>
          <w:cantSplit/>
        </w:trPr>
        <w:tc>
          <w:tcPr>
            <w:tcW w:type="dxa" w:w="2458"/>
            <w:vAlign w:val="top"/>
          </w:tcPr>
          <w:p>
            <w:pPr>
              <w:pStyle w:val="Compact"/>
              <w:spacing w:after="60" w:line="240" w:lineRule="auto"/>
              <w:jc w:val="left"/>
            </w:pPr>
            <w:r>
              <w:rPr>
                <w:rFonts w:ascii="Carlito" w:hAnsi="Carlito"/>
                <w:sz w:val="18"/>
              </w:rPr>
              <w:t xml:space="preserve">Preparation</w:t>
            </w:r>
          </w:p>
        </w:tc>
        <w:tc>
          <w:tcPr>
            <w:tcW w:type="dxa" w:w="3834"/>
            <w:vAlign w:val="top"/>
          </w:tcPr>
          <w:p>
            <w:pPr>
              <w:pStyle w:val="Compact"/>
              <w:spacing w:after="60" w:line="240" w:lineRule="auto"/>
              <w:jc w:val="left"/>
            </w:pPr>
            <w:r>
              <w:rPr>
                <w:rFonts w:ascii="Carlito" w:hAnsi="Carlito"/>
                <w:sz w:val="18"/>
              </w:rPr>
              <w:t xml:space="preserve">All-zero product state in the chosen injection frame</w:t>
            </w:r>
          </w:p>
        </w:tc>
        <w:tc>
          <w:tcPr>
            <w:tcW w:type="dxa" w:w="3539"/>
            <w:vAlign w:val="top"/>
          </w:tcPr>
          <w:p>
            <w:pPr>
              <w:pStyle w:val="Compact"/>
              <w:spacing w:after="60" w:line="240" w:lineRule="auto"/>
              <w:jc w:val="left"/>
            </w:pPr>
            <w:r>
              <w:rPr>
                <w:rFonts w:ascii="Carlito" w:hAnsi="Carlito"/>
                <w:sz w:val="18"/>
              </w:rPr>
              <w:t xml:space="preserve">A deliberately prepared resource, not frame-neutral formlessness</w:t>
            </w:r>
          </w:p>
        </w:tc>
      </w:tr>
      <w:tr>
        <w:trPr>
          <w:cantSplit/>
        </w:trPr>
        <w:tc>
          <w:tcPr>
            <w:tcW w:type="dxa" w:w="2458"/>
            <w:vAlign w:val="top"/>
          </w:tcPr>
          <w:p>
            <w:pPr>
              <w:pStyle w:val="Compact"/>
              <w:spacing w:after="60" w:line="240" w:lineRule="auto"/>
              <w:jc w:val="left"/>
            </w:pPr>
            <w:r>
              <w:rPr>
                <w:rFonts w:ascii="Carlito" w:hAnsi="Carlito"/>
                <w:sz w:val="18"/>
              </w:rPr>
              <w:t xml:space="preserve">Source pulse</w:t>
            </w:r>
          </w:p>
        </w:tc>
        <w:tc>
          <w:tcPr>
            <w:tcW w:type="dxa" w:w="3834"/>
            <w:vAlign w:val="top"/>
          </w:tcPr>
          <w:p>
            <w:pPr>
              <w:pStyle w:val="Compact"/>
              <w:spacing w:after="60" w:line="240" w:lineRule="auto"/>
              <w:jc w:val="left"/>
            </w:pPr>
            <w:r>
              <w:rPr>
                <w:rFonts w:ascii="Carlito" w:hAnsi="Carlito"/>
                <w:sz w:val="18"/>
              </w:rPr>
              <w:t xml:space="preserve">Source-conditioned plus/minus one-site X generator, pulse angle pi/4; internal Hamiltonian held off during pulse</w:t>
            </w:r>
          </w:p>
        </w:tc>
        <w:tc>
          <w:tcPr>
            <w:tcW w:type="dxa" w:w="3539"/>
            <w:vAlign w:val="top"/>
          </w:tcPr>
          <w:p>
            <w:pPr>
              <w:pStyle w:val="Compact"/>
              <w:spacing w:after="60" w:line="240" w:lineRule="auto"/>
              <w:jc w:val="left"/>
            </w:pPr>
            <w:r>
              <w:rPr>
                <w:rFonts w:ascii="Carlito" w:hAnsi="Carlito"/>
                <w:sz w:val="18"/>
              </w:rPr>
              <w:t xml:space="preserve">A supplied quench intervention; not continuous autonomous source coupling</w:t>
            </w:r>
          </w:p>
        </w:tc>
      </w:tr>
      <w:tr>
        <w:trPr>
          <w:cantSplit/>
        </w:trPr>
        <w:tc>
          <w:tcPr>
            <w:tcW w:type="dxa" w:w="2458"/>
            <w:vAlign w:val="top"/>
          </w:tcPr>
          <w:p>
            <w:pPr>
              <w:pStyle w:val="Compact"/>
              <w:spacing w:after="60" w:line="240" w:lineRule="auto"/>
              <w:jc w:val="left"/>
            </w:pPr>
            <w:r>
              <w:rPr>
                <w:rFonts w:ascii="Carlito" w:hAnsi="Carlito"/>
                <w:sz w:val="18"/>
              </w:rPr>
              <w:t xml:space="preserve">Post-pulse evolution</w:t>
            </w:r>
          </w:p>
        </w:tc>
        <w:tc>
          <w:tcPr>
            <w:tcW w:type="dxa" w:w="3834"/>
            <w:vAlign w:val="top"/>
          </w:tcPr>
          <w:p>
            <w:pPr>
              <w:pStyle w:val="Compact"/>
              <w:spacing w:after="60" w:line="240" w:lineRule="auto"/>
              <w:jc w:val="left"/>
            </w:pPr>
            <w:r>
              <w:rPr>
                <w:rFonts w:ascii="Carlito" w:hAnsi="Carlito"/>
                <w:sz w:val="18"/>
              </w:rPr>
              <w:t xml:space="preserve">The same internal Hamiltonian for both branches; all source-dependent terms set to zero</w:t>
            </w:r>
          </w:p>
        </w:tc>
        <w:tc>
          <w:tcPr>
            <w:tcW w:type="dxa" w:w="3539"/>
            <w:vAlign w:val="top"/>
          </w:tcPr>
          <w:p>
            <w:pPr>
              <w:pStyle w:val="Compact"/>
              <w:spacing w:after="60" w:line="240" w:lineRule="auto"/>
              <w:jc w:val="left"/>
            </w:pPr>
            <w:r>
              <w:rPr>
                <w:rFonts w:ascii="Carlito" w:hAnsi="Carlito"/>
                <w:sz w:val="18"/>
              </w:rPr>
              <w:t xml:space="preserve">Global distinguishability is preserved, not regenerated</w:t>
            </w:r>
          </w:p>
        </w:tc>
      </w:tr>
      <w:tr>
        <w:trPr>
          <w:cantSplit/>
        </w:trPr>
        <w:tc>
          <w:tcPr>
            <w:tcW w:type="dxa" w:w="2458"/>
            <w:vAlign w:val="top"/>
          </w:tcPr>
          <w:p>
            <w:pPr>
              <w:pStyle w:val="Compact"/>
              <w:spacing w:after="60" w:line="240" w:lineRule="auto"/>
              <w:jc w:val="left"/>
            </w:pPr>
            <w:r>
              <w:rPr>
                <w:rFonts w:ascii="Carlito" w:hAnsi="Carlito"/>
                <w:sz w:val="18"/>
              </w:rPr>
              <w:t xml:space="preserve">Access</w:t>
            </w:r>
          </w:p>
        </w:tc>
        <w:tc>
          <w:tcPr>
            <w:tcW w:type="dxa" w:w="3834"/>
            <w:vAlign w:val="top"/>
          </w:tcPr>
          <w:p>
            <w:pPr>
              <w:pStyle w:val="Compact"/>
              <w:spacing w:after="60" w:line="240" w:lineRule="auto"/>
              <w:jc w:val="left"/>
            </w:pPr>
            <w:r>
              <w:rPr>
                <w:rFonts w:ascii="Carlito" w:hAnsi="Carlito"/>
                <w:sz w:val="18"/>
              </w:rPr>
              <w:t xml:space="preserve">Unrestricted measurements on each singleton algebra in the declared frames</w:t>
            </w:r>
          </w:p>
        </w:tc>
        <w:tc>
          <w:tcPr>
            <w:tcW w:type="dxa" w:w="3539"/>
            <w:vAlign w:val="top"/>
          </w:tcPr>
          <w:p>
            <w:pPr>
              <w:pStyle w:val="Compact"/>
              <w:spacing w:after="60" w:line="240" w:lineRule="auto"/>
              <w:jc w:val="left"/>
            </w:pPr>
            <w:r>
              <w:rPr>
                <w:rFonts w:ascii="Carlito" w:hAnsi="Carlito"/>
                <w:sz w:val="18"/>
              </w:rPr>
              <w:t xml:space="preserve">Actual implementation costs of nonnative observables are not matched or assessed</w:t>
            </w:r>
          </w:p>
        </w:tc>
      </w:tr>
      <w:tr>
        <w:trPr>
          <w:cantSplit/>
        </w:trPr>
        <w:tc>
          <w:tcPr>
            <w:tcW w:type="dxa" w:w="2458"/>
            <w:vAlign w:val="top"/>
          </w:tcPr>
          <w:p>
            <w:pPr>
              <w:pStyle w:val="Compact"/>
              <w:spacing w:after="60" w:line="240" w:lineRule="auto"/>
              <w:jc w:val="left"/>
            </w:pPr>
            <w:r>
              <w:rPr>
                <w:rFonts w:ascii="Carlito" w:hAnsi="Carlito"/>
                <w:sz w:val="18"/>
              </w:rPr>
              <w:t xml:space="preserve">Readout</w:t>
            </w:r>
          </w:p>
        </w:tc>
        <w:tc>
          <w:tcPr>
            <w:tcW w:type="dxa" w:w="3834"/>
            <w:vAlign w:val="top"/>
          </w:tcPr>
          <w:p>
            <w:pPr>
              <w:pStyle w:val="Compact"/>
              <w:spacing w:after="60" w:line="240" w:lineRule="auto"/>
              <w:jc w:val="left"/>
            </w:pPr>
            <w:r>
              <w:rPr>
                <w:rFonts w:ascii="Carlito" w:hAnsi="Carlito"/>
                <w:sz w:val="18"/>
              </w:rPr>
              <w:t xml:space="preserve">101 diagnostic checkpoints from 0 to 2.5; 50 positive-time primary readouts spaced 0.05</w:t>
            </w:r>
          </w:p>
        </w:tc>
        <w:tc>
          <w:tcPr>
            <w:tcW w:type="dxa" w:w="3539"/>
            <w:vAlign w:val="top"/>
          </w:tcPr>
          <w:p>
            <w:pPr>
              <w:pStyle w:val="Compact"/>
              <w:spacing w:after="60" w:line="240" w:lineRule="auto"/>
              <w:jc w:val="left"/>
            </w:pPr>
            <w:r>
              <w:rPr>
                <w:rFonts w:ascii="Carlito" w:hAnsi="Carlito"/>
                <w:sz w:val="18"/>
              </w:rPr>
              <w:t xml:space="preserve">Primary target is a discrete-time average, not a continuum integral</w:t>
            </w:r>
          </w:p>
        </w:tc>
      </w:tr>
    </w:tbl>
    <w:p>
      <w:pPr>
        <w:pStyle w:val="BodyText"/>
      </w:pPr>
      <w:r>
        <w:t xml:space="preserve">Let</w:t>
      </w:r>
      <w:r>
        <w:t xml:space="preserve"> </w:t>
      </w:r>
      <m:oMath>
        <m:r>
          <m:t>V</m:t>
        </m:r>
        <m:r>
          <m:rPr>
            <m:sty m:val="p"/>
          </m:rPr>
          <m:t>=</m:t>
        </m:r>
        <m:r>
          <m:t>I</m:t>
        </m:r>
      </m:oMath>
      <w:r>
        <w:t xml:space="preserve"> </w:t>
      </w:r>
      <w:r>
        <w:t xml:space="preserve">for the native-injection arm and</w:t>
      </w:r>
      <w:r>
        <w:t xml:space="preserve"> </w:t>
      </w:r>
      <m:oMath>
        <m:r>
          <m:t>V</m:t>
        </m:r>
        <m:r>
          <m:rPr>
            <m:sty m:val="p"/>
          </m:rPr>
          <m:t>=</m:t>
        </m:r>
        <m:sSub>
          <m:e>
            <m:r>
              <m:t>U</m:t>
            </m:r>
          </m:e>
          <m:sub>
            <m:r>
              <m:t>C</m:t>
            </m:r>
          </m:sub>
        </m:sSub>
      </m:oMath>
      <w:r>
        <w:t xml:space="preserve"> </w:t>
      </w:r>
      <w:r>
        <w:t xml:space="preserve">for the rotated arm. Just after the pulse, with site zero addressed,</w:t>
      </w:r>
    </w:p>
    <w:p>
      <w:pPr>
        <w:pStyle w:val="BodyText"/>
      </w:pPr>
      <m:oMathPara>
        <m:oMathParaPr>
          <m:jc m:val="center"/>
        </m:oMathParaPr>
        <m:oMath>
          <m:r>
            <m:rPr>
              <m:sty m:val="p"/>
            </m:rPr>
            <m:t>∣</m:t>
          </m:r>
          <m:sSub>
            <m:e>
              <m:r>
                <m:t>ψ</m:t>
              </m:r>
            </m:e>
            <m:sub>
              <m:r>
                <m:t>0</m:t>
              </m:r>
            </m:sub>
          </m:sSub>
          <m:r>
            <m:rPr>
              <m:sty m:val="p"/>
            </m:rPr>
            <m:t>(</m:t>
          </m:r>
          <m:r>
            <m:t>0</m:t>
          </m:r>
          <m:r>
            <m:rPr>
              <m:sty m:val="p"/>
            </m:rPr>
            <m:t>)</m:t>
          </m:r>
          <m:r>
            <m:rPr>
              <m:sty m:val="p"/>
            </m:rPr>
            <m:t>⟩</m:t>
          </m:r>
          <m:r>
            <m:rPr>
              <m:sty m:val="p"/>
            </m:rPr>
            <m:t>=</m:t>
          </m:r>
          <m:r>
            <m:t>V</m:t>
          </m:r>
          <m:r>
            <m:rPr>
              <m:sty m:val="p"/>
            </m:rPr>
            <m:t>(</m:t>
          </m:r>
          <m:r>
            <m:rPr>
              <m:sty m:val="p"/>
            </m:rPr>
            <m:t>∣</m:t>
          </m:r>
          <m:r>
            <m:t>0</m:t>
          </m:r>
          <m:r>
            <m:rPr>
              <m:sty m:val="p"/>
            </m:rPr>
            <m:t>⋯</m:t>
          </m:r>
          <m:r>
            <m:t>0</m:t>
          </m:r>
          <m:r>
            <m:rPr>
              <m:sty m:val="p"/>
            </m:rPr>
            <m:t>⟩</m:t>
          </m:r>
          <m:r>
            <m:rPr>
              <m:sty m:val="p"/>
            </m:rPr>
            <m:t>−</m:t>
          </m:r>
          <m:r>
            <m:t>i</m:t>
          </m:r>
          <m:r>
            <m:rPr>
              <m:sty m:val="p"/>
            </m:rPr>
            <m:t>∣</m:t>
          </m:r>
          <m:r>
            <m:t>10</m:t>
          </m:r>
          <m:r>
            <m:rPr>
              <m:sty m:val="p"/>
            </m:rPr>
            <m:t>⋯</m:t>
          </m:r>
          <m:r>
            <m:t>0</m:t>
          </m:r>
          <m:r>
            <m:rPr>
              <m:sty m:val="p"/>
            </m:rPr>
            <m:t>⟩</m:t>
          </m:r>
          <m:r>
            <m:rPr>
              <m:sty m:val="p"/>
            </m:rPr>
            <m:t>)</m:t>
          </m:r>
          <m:r>
            <m:rPr>
              <m:sty m:val="p"/>
            </m:rPr>
            <m:t>/</m:t>
          </m:r>
          <m:rad>
            <m:radPr>
              <m:degHide m:val="on"/>
            </m:radPr>
            <m:deg/>
            <m:e>
              <m:r>
                <m:t>2</m:t>
              </m:r>
            </m:e>
          </m:rad>
          <m:r>
            <m:rPr>
              <m:sty m:val="p"/>
            </m:rPr>
            <m:t>,</m:t>
          </m:r>
        </m:oMath>
      </m:oMathPara>
    </w:p>
    <w:p>
      <w:pPr>
        <w:pStyle w:val="FirstParagraph"/>
      </w:pPr>
      <m:oMathPara>
        <m:oMathParaPr>
          <m:jc m:val="center"/>
        </m:oMathParaPr>
        <m:oMath>
          <m:r>
            <m:rPr>
              <m:sty m:val="p"/>
            </m:rPr>
            <m:t>∣</m:t>
          </m:r>
          <m:sSub>
            <m:e>
              <m:r>
                <m:t>ψ</m:t>
              </m:r>
            </m:e>
            <m:sub>
              <m:r>
                <m:t>1</m:t>
              </m:r>
            </m:sub>
          </m:sSub>
          <m:r>
            <m:rPr>
              <m:sty m:val="p"/>
            </m:rPr>
            <m:t>(</m:t>
          </m:r>
          <m:r>
            <m:t>0</m:t>
          </m:r>
          <m:r>
            <m:rPr>
              <m:sty m:val="p"/>
            </m:rPr>
            <m:t>)</m:t>
          </m:r>
          <m:r>
            <m:rPr>
              <m:sty m:val="p"/>
            </m:rPr>
            <m:t>⟩</m:t>
          </m:r>
          <m:r>
            <m:rPr>
              <m:sty m:val="p"/>
            </m:rPr>
            <m:t>=</m:t>
          </m:r>
          <m:r>
            <m:t>V</m:t>
          </m:r>
          <m:r>
            <m:rPr>
              <m:sty m:val="p"/>
            </m:rPr>
            <m:t>(</m:t>
          </m:r>
          <m:r>
            <m:rPr>
              <m:sty m:val="p"/>
            </m:rPr>
            <m:t>∣</m:t>
          </m:r>
          <m:r>
            <m:t>0</m:t>
          </m:r>
          <m:r>
            <m:rPr>
              <m:sty m:val="p"/>
            </m:rPr>
            <m:t>⋯</m:t>
          </m:r>
          <m:r>
            <m:t>0</m:t>
          </m:r>
          <m:r>
            <m:rPr>
              <m:sty m:val="p"/>
            </m:rPr>
            <m:t>⟩</m:t>
          </m:r>
          <m:r>
            <m:rPr>
              <m:sty m:val="p"/>
            </m:rPr>
            <m:t>+</m:t>
          </m:r>
          <m:r>
            <m:t>i</m:t>
          </m:r>
          <m:r>
            <m:rPr>
              <m:sty m:val="p"/>
            </m:rPr>
            <m:t>∣</m:t>
          </m:r>
          <m:r>
            <m:t>10</m:t>
          </m:r>
          <m:r>
            <m:rPr>
              <m:sty m:val="p"/>
            </m:rPr>
            <m:t>⋯</m:t>
          </m:r>
          <m:r>
            <m:t>0</m:t>
          </m:r>
          <m:r>
            <m:rPr>
              <m:sty m:val="p"/>
            </m:rPr>
            <m:t>⟩</m:t>
          </m:r>
          <m:r>
            <m:rPr>
              <m:sty m:val="p"/>
            </m:rPr>
            <m:t>)</m:t>
          </m:r>
          <m:r>
            <m:rPr>
              <m:sty m:val="p"/>
            </m:rPr>
            <m:t>/</m:t>
          </m:r>
          <m:rad>
            <m:radPr>
              <m:degHide m:val="on"/>
            </m:radPr>
            <m:deg/>
            <m:e>
              <m:r>
                <m:t>2</m:t>
              </m:r>
            </m:e>
          </m:rad>
          <m:r>
            <m:rPr>
              <m:sty m:val="p"/>
            </m:rPr>
            <m:t>.</m:t>
          </m:r>
        </m:oMath>
      </m:oMathPara>
    </w:p>
    <w:p>
      <w:pPr>
        <w:pStyle w:val="FirstParagraph"/>
      </w:pPr>
      <w:r>
        <w:t xml:space="preserve">For</w:t>
      </w:r>
      <w:r>
        <w:t xml:space="preserve"> </w:t>
      </w:r>
      <m:oMath>
        <m:r>
          <m:t>t</m:t>
        </m:r>
        <m:r>
          <m:rPr>
            <m:sty m:val="p"/>
          </m:rPr>
          <m:t>&gt;</m:t>
        </m:r>
        <m:r>
          <m:t>0</m:t>
        </m:r>
      </m:oMath>
      <w:r>
        <w:t xml:space="preserve">, both evolve with</w:t>
      </w:r>
      <w:r>
        <w:t xml:space="preserve"> </w:t>
      </w:r>
      <m:oMath>
        <m:sSup>
          <m:e>
            <m:r>
              <m:t>e</m:t>
            </m:r>
          </m:e>
          <m:sup>
            <m:r>
              <m:rPr>
                <m:sty m:val="p"/>
              </m:rPr>
              <m:t>−</m:t>
            </m:r>
            <m:r>
              <m:t>i</m:t>
            </m:r>
            <m:sSub>
              <m:e>
                <m:r>
                  <m:t>H</m:t>
                </m:r>
              </m:e>
              <m:sub>
                <m:r>
                  <m:t>S</m:t>
                </m:r>
              </m:sub>
            </m:sSub>
            <m:r>
              <m:t>t</m:t>
            </m:r>
          </m:sup>
        </m:sSup>
      </m:oMath>
      <w:r>
        <w:t xml:space="preserve">. The matched control uses the same initial states but</w:t>
      </w:r>
      <w:r>
        <w:t xml:space="preserve"> </w:t>
      </w:r>
      <m:oMath>
        <m:sSub>
          <m:e>
            <m:r>
              <m:t>H</m:t>
            </m:r>
          </m:e>
          <m:sub>
            <m:r>
              <m:t>S</m:t>
            </m:r>
          </m:sub>
        </m:sSub>
        <m:r>
          <m:rPr>
            <m:sty m:val="p"/>
          </m:rPr>
          <m:t>=</m:t>
        </m:r>
        <m:r>
          <m:t>0</m:t>
        </m:r>
      </m:oMath>
      <w:r>
        <w:t xml:space="preserve">. The source bit is external and is not an accessible fragment. The addressed system site contains an injected copy; it is not a newly formed record after switch-off.</w:t>
      </w:r>
    </w:p>
    <w:p>
      <w:pPr>
        <w:pStyle w:val="BodyText"/>
      </w:pPr>
      <w:r>
        <w:t xml:space="preserve">Both arms are evaluated in</w:t>
      </w:r>
      <w:r>
        <w:t xml:space="preserve"> </w:t>
      </w:r>
      <m:oMath>
        <m:sSub>
          <m:e>
            <m:r>
              <m:t>D</m:t>
            </m:r>
          </m:e>
          <m:sub>
            <m:r>
              <m:t>L</m:t>
            </m:r>
          </m:sub>
        </m:sSub>
        <m:r>
          <m:rPr>
            <m:sty m:val="p"/>
          </m:rPr>
          <m:t>=</m:t>
        </m:r>
        <m:r>
          <m:t>I</m:t>
        </m:r>
      </m:oMath>
      <w:r>
        <w:t xml:space="preserve"> </w:t>
      </w:r>
      <w:r>
        <w:t xml:space="preserve">and the same alternate</w:t>
      </w:r>
      <w:r>
        <w:t xml:space="preserve"> </w:t>
      </w:r>
      <m:oMath>
        <m:sSub>
          <m:e>
            <m:r>
              <m:t>D</m:t>
            </m:r>
          </m:e>
          <m:sub>
            <m:r>
              <m:t>C</m:t>
            </m:r>
          </m:sub>
        </m:sSub>
        <m:r>
          <m:rPr>
            <m:sty m:val="p"/>
          </m:rPr>
          <m:t>=</m:t>
        </m:r>
        <m:sSub>
          <m:e>
            <m:r>
              <m:t>U</m:t>
            </m:r>
          </m:e>
          <m:sub>
            <m:r>
              <m:t>C</m:t>
            </m:r>
          </m:sub>
        </m:sSub>
      </m:oMath>
      <w:r>
        <w:t xml:space="preserve">. In the rotated arm</w:t>
      </w:r>
      <w:r>
        <w:t xml:space="preserve"> </w:t>
      </w:r>
      <m:oMath>
        <m:sSub>
          <m:e>
            <m:r>
              <m:t>D</m:t>
            </m:r>
          </m:e>
          <m:sub>
            <m:r>
              <m:t>C</m:t>
            </m:r>
          </m:sub>
        </m:sSub>
      </m:oMath>
      <w:r>
        <w:t xml:space="preserve"> </w:t>
      </w:r>
      <w:r>
        <w:t xml:space="preserve">is the actual injection frame. In the native arm the actual injection frame is</w:t>
      </w:r>
      <w:r>
        <w:t xml:space="preserve"> </w:t>
      </w:r>
      <m:oMath>
        <m:sSub>
          <m:e>
            <m:r>
              <m:t>D</m:t>
            </m:r>
          </m:e>
          <m:sub>
            <m:r>
              <m:t>L</m:t>
            </m:r>
          </m:sub>
        </m:sSub>
      </m:oMath>
      <w:r>
        <w:t xml:space="preserve">; the symbol C labels only the paired alternate frame. This clarification prevents a comparator label being mistaken for a physical intervention. The primary analysis uses only the rotated arm at six qubits.</w:t>
      </w:r>
    </w:p>
    <w:bookmarkEnd w:id="22"/>
    <w:bookmarkStart w:id="23" w:name="primary-estimand-and-baseline"/>
    <w:p>
      <w:pPr>
        <w:pStyle w:val="Heading2"/>
      </w:pPr>
      <w:r>
        <w:t xml:space="preserve">3. Primary estimand and baseline</w:t>
      </w:r>
    </w:p>
    <w:p>
      <w:pPr>
        <w:pStyle w:val="FirstParagraph"/>
      </w:pPr>
      <w:r>
        <w:t xml:space="preserve">For frame</w:t>
      </w:r>
      <w:r>
        <w:t xml:space="preserve"> </w:t>
      </w:r>
      <m:oMath>
        <m:r>
          <m:t>D</m:t>
        </m:r>
      </m:oMath>
      <w:r>
        <w:t xml:space="preserve">, singleton</w:t>
      </w:r>
      <w:r>
        <w:t xml:space="preserve"> </w:t>
      </w:r>
      <m:oMath>
        <m:r>
          <m:t>j</m:t>
        </m:r>
      </m:oMath>
      <w:r>
        <w:t xml:space="preserve"> </w:t>
      </w:r>
      <w:r>
        <w:t xml:space="preserve">and time</w:t>
      </w:r>
      <w:r>
        <w:t xml:space="preserve"> </w:t>
      </w:r>
      <m:oMath>
        <m:r>
          <m:t>t</m:t>
        </m:r>
      </m:oMath>
      <w:r>
        <w:t xml:space="preserve">, let</w:t>
      </w:r>
    </w:p>
    <w:p>
      <w:pPr>
        <w:pStyle w:val="BodyText"/>
      </w:pPr>
      <m:oMathPara>
        <m:oMathParaPr>
          <m:jc m:val="center"/>
        </m:oMathParaPr>
        <m:oMath>
          <m:sSub>
            <m:e>
              <m:r>
                <m:t>d</m:t>
              </m:r>
            </m:e>
            <m:sub>
              <m:r>
                <m:t>D</m:t>
              </m:r>
              <m:r>
                <m:rPr>
                  <m:sty m:val="p"/>
                </m:rPr>
                <m:t>,</m:t>
              </m:r>
              <m:r>
                <m:t>j</m:t>
              </m:r>
            </m:sub>
          </m:sSub>
          <m:r>
            <m:rPr>
              <m:sty m:val="p"/>
            </m:rPr>
            <m:t>(</m:t>
          </m:r>
          <m:r>
            <m:t>t</m:t>
          </m:r>
          <m:r>
            <m:rPr>
              <m:sty m:val="p"/>
            </m:rPr>
            <m:t>)</m:t>
          </m:r>
          <m:r>
            <m:rPr>
              <m:sty m:val="p"/>
            </m:rPr>
            <m:t>=</m:t>
          </m:r>
          <m:f>
            <m:fPr>
              <m:type m:val="lin"/>
            </m:fPr>
            <m:num>
              <m:r>
                <m:t>1</m:t>
              </m:r>
            </m:num>
            <m:den>
              <m:r>
                <m:t>2</m:t>
              </m:r>
            </m:den>
          </m:f>
          <m:r>
            <m:rPr>
              <m:sty m:val="p"/>
            </m:rPr>
            <m:t>∥</m:t>
          </m:r>
          <m:sSubSup>
            <m:e>
              <m:r>
                <m:t>ρ</m:t>
              </m:r>
            </m:e>
            <m:sub>
              <m:r>
                <m:t>j</m:t>
              </m:r>
              <m:r>
                <m:rPr>
                  <m:sty m:val="p"/>
                </m:rPr>
                <m:t>,</m:t>
              </m:r>
              <m:r>
                <m:t>0</m:t>
              </m:r>
            </m:sub>
            <m:sup>
              <m:r>
                <m:t>D</m:t>
              </m:r>
            </m:sup>
          </m:sSubSup>
          <m:r>
            <m:rPr>
              <m:sty m:val="p"/>
            </m:rPr>
            <m:t>(</m:t>
          </m:r>
          <m:r>
            <m:t>t</m:t>
          </m:r>
          <m:r>
            <m:rPr>
              <m:sty m:val="p"/>
            </m:rPr>
            <m:t>)</m:t>
          </m:r>
          <m:r>
            <m:rPr>
              <m:sty m:val="p"/>
            </m:rPr>
            <m:t>−</m:t>
          </m:r>
          <m:sSubSup>
            <m:e>
              <m:r>
                <m:t>ρ</m:t>
              </m:r>
            </m:e>
            <m:sub>
              <m:r>
                <m:t>j</m:t>
              </m:r>
              <m:r>
                <m:rPr>
                  <m:sty m:val="p"/>
                </m:rPr>
                <m:t>,</m:t>
              </m:r>
              <m:r>
                <m:t>1</m:t>
              </m:r>
            </m:sub>
            <m:sup>
              <m:r>
                <m:t>D</m:t>
              </m:r>
            </m:sup>
          </m:sSubSup>
          <m:r>
            <m:rPr>
              <m:sty m:val="p"/>
            </m:rPr>
            <m:t>(</m:t>
          </m:r>
          <m:r>
            <m:t>t</m:t>
          </m:r>
          <m:r>
            <m:rPr>
              <m:sty m:val="p"/>
            </m:rPr>
            <m:t>)</m:t>
          </m:r>
          <m:sSub>
            <m:e>
              <m:r>
                <m:rPr>
                  <m:sty m:val="p"/>
                </m:rPr>
                <m:t>∥</m:t>
              </m:r>
            </m:e>
            <m:sub>
              <m:r>
                <m:t>1</m:t>
              </m:r>
            </m:sub>
          </m:sSub>
          <m:r>
            <m:rPr>
              <m:sty m:val="p"/>
            </m:rPr>
            <m:t>,</m:t>
          </m:r>
          <m:r>
            <m:t>  </m:t>
          </m:r>
          <m:sSub>
            <m:e>
              <m:r>
                <m:t>a</m:t>
              </m:r>
            </m:e>
            <m:sub>
              <m:r>
                <m:t>D</m:t>
              </m:r>
            </m:sub>
          </m:sSub>
          <m:r>
            <m:rPr>
              <m:sty m:val="p"/>
            </m:rPr>
            <m:t>(</m:t>
          </m:r>
          <m:r>
            <m:t>t</m:t>
          </m:r>
          <m:r>
            <m:rPr>
              <m:sty m:val="p"/>
            </m:rPr>
            <m:t>)</m:t>
          </m:r>
          <m:r>
            <m:rPr>
              <m:sty m:val="p"/>
            </m:rPr>
            <m:t>=</m:t>
          </m:r>
          <m:f>
            <m:fPr>
              <m:type m:val="bar"/>
            </m:fPr>
            <m:num>
              <m:r>
                <m:t>1</m:t>
              </m:r>
            </m:num>
            <m:den>
              <m:r>
                <m:t>n</m:t>
              </m:r>
            </m:den>
          </m:f>
          <m:nary>
            <m:naryPr>
              <m:chr m:val="∑"/>
              <m:limLoc m:val="undOvr"/>
              <m:subHide m:val="off"/>
              <m:supHide m:val="on"/>
            </m:naryPr>
            <m:sub>
              <m:r>
                <m:t>j</m:t>
              </m:r>
            </m:sub>
            <m:sup>
              <m:r>
                <m:t>​</m:t>
              </m:r>
            </m:sup>
            <m:e>
              <m:sSub>
                <m:e>
                  <m:r>
                    <m:t>d</m:t>
                  </m:r>
                </m:e>
                <m:sub>
                  <m:r>
                    <m:t>D</m:t>
                  </m:r>
                  <m:r>
                    <m:rPr>
                      <m:sty m:val="p"/>
                    </m:rPr>
                    <m:t>,</m:t>
                  </m:r>
                  <m:r>
                    <m:t>j</m:t>
                  </m:r>
                </m:sub>
              </m:sSub>
            </m:e>
          </m:nary>
          <m:r>
            <m:rPr>
              <m:sty m:val="p"/>
            </m:rPr>
            <m:t>(</m:t>
          </m:r>
          <m:r>
            <m:t>t</m:t>
          </m:r>
          <m:r>
            <m:rPr>
              <m:sty m:val="p"/>
            </m:rPr>
            <m:t>)</m:t>
          </m:r>
          <m:r>
            <m:rPr>
              <m:sty m:val="p"/>
            </m:rPr>
            <m:t>.</m:t>
          </m:r>
        </m:oMath>
      </m:oMathPara>
    </w:p>
    <w:p>
      <w:pPr>
        <w:pStyle w:val="FirstParagraph"/>
      </w:pPr>
      <w:r>
        <w:t xml:space="preserve">The optimal binary error is</w:t>
      </w:r>
      <w:r>
        <w:t xml:space="preserve"> </w:t>
      </w:r>
      <m:oMath>
        <m:r>
          <m:rPr>
            <m:sty m:val="p"/>
          </m:rPr>
          <m:t>(</m:t>
        </m:r>
        <m:r>
          <m:t>1</m:t>
        </m:r>
        <m:r>
          <m:rPr>
            <m:sty m:val="p"/>
          </m:rPr>
          <m:t>−</m:t>
        </m:r>
        <m:sSub>
          <m:e>
            <m:r>
              <m:t>d</m:t>
            </m:r>
          </m:e>
          <m:sub>
            <m:r>
              <m:t>D</m:t>
            </m:r>
            <m:r>
              <m:rPr>
                <m:sty m:val="p"/>
              </m:rPr>
              <m:t>,</m:t>
            </m:r>
            <m:r>
              <m:t>j</m:t>
            </m:r>
          </m:sub>
        </m:sSub>
        <m:r>
          <m:rPr>
            <m:sty m:val="p"/>
          </m:rPr>
          <m:t>)</m:t>
        </m:r>
        <m:r>
          <m:rPr>
            <m:sty m:val="p"/>
          </m:rPr>
          <m:t>/</m:t>
        </m:r>
        <m:r>
          <m:t>2</m:t>
        </m:r>
      </m:oMath>
      <w:r>
        <w:t xml:space="preserve">. Average distinguishing advantage is not the number of strong, redundant records. With</w:t>
      </w:r>
      <w:r>
        <w:t xml:space="preserve"> </w:t>
      </w:r>
      <m:oMath>
        <m:r>
          <m:t>M</m:t>
        </m:r>
        <m:r>
          <m:rPr>
            <m:sty m:val="p"/>
          </m:rPr>
          <m:t>=</m:t>
        </m:r>
        <m:r>
          <m:t>50</m:t>
        </m:r>
      </m:oMath>
      <w:r>
        <w:t xml:space="preserve"> </w:t>
      </w:r>
      <w:r>
        <w:t xml:space="preserve">predeclared positive-time readouts, define</w:t>
      </w:r>
    </w:p>
    <w:p>
      <w:pPr>
        <w:pStyle w:val="BodyText"/>
      </w:pPr>
      <m:oMathPara>
        <m:oMathParaPr>
          <m:jc m:val="center"/>
        </m:oMathParaPr>
        <m:oMath>
          <m:sSub>
            <m:e>
              <m:r>
                <m:t>z</m:t>
              </m:r>
            </m:e>
            <m:sub>
              <m:r>
                <m:t>i</m:t>
              </m:r>
            </m:sub>
          </m:sSub>
          <m:r>
            <m:rPr>
              <m:sty m:val="p"/>
            </m:rPr>
            <m:t>=</m:t>
          </m:r>
          <m:f>
            <m:fPr>
              <m:type m:val="bar"/>
            </m:fPr>
            <m:num>
              <m:r>
                <m:t>1</m:t>
              </m:r>
            </m:num>
            <m:den>
              <m:r>
                <m:t>2</m:t>
              </m:r>
              <m:r>
                <m:t>M</m:t>
              </m:r>
            </m:den>
          </m:f>
          <m:nary>
            <m:naryPr>
              <m:chr m:val="∑"/>
              <m:limLoc m:val="undOvr"/>
              <m:subHide m:val="off"/>
              <m:supHide m:val="off"/>
            </m:naryPr>
            <m:sub>
              <m:r>
                <m:t>m</m:t>
              </m:r>
              <m:r>
                <m:rPr>
                  <m:sty m:val="p"/>
                </m:rPr>
                <m:t>=</m:t>
              </m:r>
              <m:r>
                <m:t>1</m:t>
              </m:r>
            </m:sub>
            <m:sup>
              <m:r>
                <m:t>M</m:t>
              </m:r>
            </m:sup>
            <m:e>
              <m:r>
                <m:rPr>
                  <m:sty m:val="p"/>
                </m:rPr>
                <m:t>[</m:t>
              </m:r>
              <m:r>
                <m:rPr>
                  <m:sty m:val="p"/>
                </m:rPr>
                <m:t>(</m:t>
              </m:r>
              <m:sSubSup>
                <m:e>
                  <m:r>
                    <m:t>a</m:t>
                  </m:r>
                </m:e>
                <m:sub>
                  <m:r>
                    <m:t>L</m:t>
                  </m:r>
                </m:sub>
                <m:sup>
                  <m:r>
                    <m:rPr>
                      <m:sty m:val="p"/>
                    </m:rPr>
                    <m:t>o</m:t>
                  </m:r>
                  <m:r>
                    <m:rPr>
                      <m:sty m:val="p"/>
                    </m:rPr>
                    <m:t>n</m:t>
                  </m:r>
                </m:sup>
              </m:sSubSup>
              <m:r>
                <m:rPr>
                  <m:sty m:val="p"/>
                </m:rPr>
                <m:t>(</m:t>
              </m:r>
              <m:sSub>
                <m:e>
                  <m:r>
                    <m:t>t</m:t>
                  </m:r>
                </m:e>
                <m:sub>
                  <m:r>
                    <m:t>m</m:t>
                  </m:r>
                </m:sub>
              </m:sSub>
              <m:r>
                <m:rPr>
                  <m:sty m:val="p"/>
                </m:rPr>
                <m:t>)</m:t>
              </m:r>
              <m:r>
                <m:rPr>
                  <m:sty m:val="p"/>
                </m:rPr>
                <m:t>−</m:t>
              </m:r>
              <m:sSubSup>
                <m:e>
                  <m:r>
                    <m:t>a</m:t>
                  </m:r>
                </m:e>
                <m:sub>
                  <m:r>
                    <m:t>C</m:t>
                  </m:r>
                </m:sub>
                <m:sup>
                  <m:r>
                    <m:rPr>
                      <m:sty m:val="p"/>
                    </m:rPr>
                    <m:t>o</m:t>
                  </m:r>
                  <m:r>
                    <m:rPr>
                      <m:sty m:val="p"/>
                    </m:rPr>
                    <m:t>n</m:t>
                  </m:r>
                </m:sup>
              </m:sSubSup>
              <m:r>
                <m:rPr>
                  <m:sty m:val="p"/>
                </m:rPr>
                <m:t>(</m:t>
              </m:r>
              <m:sSub>
                <m:e>
                  <m:r>
                    <m:t>t</m:t>
                  </m:r>
                </m:e>
                <m:sub>
                  <m:r>
                    <m:t>m</m:t>
                  </m:r>
                </m:sub>
              </m:sSub>
              <m:r>
                <m:rPr>
                  <m:sty m:val="p"/>
                </m:rPr>
                <m:t>)</m:t>
              </m:r>
              <m:r>
                <m:rPr>
                  <m:sty m:val="p"/>
                </m:rPr>
                <m:t>)</m:t>
              </m:r>
              <m:r>
                <m:rPr>
                  <m:sty m:val="p"/>
                </m:rPr>
                <m:t>−</m:t>
              </m:r>
              <m:r>
                <m:rPr>
                  <m:sty m:val="p"/>
                </m:rPr>
                <m:t>(</m:t>
              </m:r>
              <m:sSubSup>
                <m:e>
                  <m:r>
                    <m:t>a</m:t>
                  </m:r>
                </m:e>
                <m:sub>
                  <m:r>
                    <m:t>L</m:t>
                  </m:r>
                </m:sub>
                <m:sup>
                  <m:r>
                    <m:rPr>
                      <m:sty m:val="p"/>
                    </m:rPr>
                    <m:t>o</m:t>
                  </m:r>
                  <m:r>
                    <m:rPr>
                      <m:sty m:val="p"/>
                    </m:rPr>
                    <m:t>f</m:t>
                  </m:r>
                  <m:r>
                    <m:rPr>
                      <m:sty m:val="p"/>
                    </m:rPr>
                    <m:t>f</m:t>
                  </m:r>
                </m:sup>
              </m:sSubSup>
              <m:r>
                <m:rPr>
                  <m:sty m:val="p"/>
                </m:rPr>
                <m:t>(</m:t>
              </m:r>
              <m:sSub>
                <m:e>
                  <m:r>
                    <m:t>t</m:t>
                  </m:r>
                </m:e>
                <m:sub>
                  <m:r>
                    <m:t>m</m:t>
                  </m:r>
                </m:sub>
              </m:sSub>
              <m:r>
                <m:rPr>
                  <m:sty m:val="p"/>
                </m:rPr>
                <m:t>)</m:t>
              </m:r>
              <m:r>
                <m:rPr>
                  <m:sty m:val="p"/>
                </m:rPr>
                <m:t>−</m:t>
              </m:r>
              <m:sSubSup>
                <m:e>
                  <m:r>
                    <m:t>a</m:t>
                  </m:r>
                </m:e>
                <m:sub>
                  <m:r>
                    <m:t>C</m:t>
                  </m:r>
                </m:sub>
                <m:sup>
                  <m:r>
                    <m:rPr>
                      <m:sty m:val="p"/>
                    </m:rPr>
                    <m:t>o</m:t>
                  </m:r>
                  <m:r>
                    <m:rPr>
                      <m:sty m:val="p"/>
                    </m:rPr>
                    <m:t>f</m:t>
                  </m:r>
                  <m:r>
                    <m:rPr>
                      <m:sty m:val="p"/>
                    </m:rPr>
                    <m:t>f</m:t>
                  </m:r>
                </m:sup>
              </m:sSubSup>
              <m:r>
                <m:rPr>
                  <m:sty m:val="p"/>
                </m:rPr>
                <m:t>(</m:t>
              </m:r>
              <m:sSub>
                <m:e>
                  <m:r>
                    <m:t>t</m:t>
                  </m:r>
                </m:e>
                <m:sub>
                  <m:r>
                    <m:t>m</m:t>
                  </m:r>
                </m:sub>
              </m:sSub>
              <m:r>
                <m:rPr>
                  <m:sty m:val="p"/>
                </m:rPr>
                <m:t>)</m:t>
              </m:r>
              <m:r>
                <m:rPr>
                  <m:sty m:val="p"/>
                </m:rPr>
                <m:t>)</m:t>
              </m:r>
              <m:r>
                <m:rPr>
                  <m:sty m:val="p"/>
                </m:rPr>
                <m:t>]</m:t>
              </m:r>
            </m:e>
          </m:nary>
          <m:r>
            <m:rPr>
              <m:sty m:val="p"/>
            </m:rPr>
            <m:t>.</m:t>
          </m:r>
        </m:oMath>
      </m:oMathPara>
    </w:p>
    <w:p>
      <w:pPr>
        <w:pStyle w:val="FirstParagraph"/>
      </w:pPr>
      <w:r>
        <w:t xml:space="preserve">Then</w:t>
      </w:r>
      <w:r>
        <w:t xml:space="preserve"> </w:t>
      </w:r>
      <m:oMath>
        <m:sSub>
          <m:e>
            <m:r>
              <m:t>z</m:t>
            </m:r>
          </m:e>
          <m:sub>
            <m:r>
              <m:t>i</m:t>
            </m:r>
          </m:sub>
        </m:sSub>
        <m:r>
          <m:rPr>
            <m:sty m:val="p"/>
          </m:rPr>
          <m:t>∈</m:t>
        </m:r>
        <m:r>
          <m:rPr>
            <m:sty m:val="p"/>
          </m:rPr>
          <m:t>[</m:t>
        </m:r>
        <m:r>
          <m:rPr>
            <m:sty m:val="p"/>
          </m:rPr>
          <m:t>−</m:t>
        </m:r>
        <m:r>
          <m:t>1</m:t>
        </m:r>
        <m:r>
          <m:rPr>
            <m:sty m:val="p"/>
          </m:rPr>
          <m:t>,</m:t>
        </m:r>
        <m:r>
          <m:t>1</m:t>
        </m:r>
        <m:r>
          <m:rPr>
            <m:sty m:val="p"/>
          </m:rPr>
          <m:t>]</m:t>
        </m:r>
      </m:oMath>
      <w:r>
        <w:t xml:space="preserve">. The control is constant, so it subtracts the initial frame-readability gap. Positive</w:t>
      </w:r>
      <w:r>
        <w:t xml:space="preserve"> </w:t>
      </w:r>
      <m:oMath>
        <m:sSub>
          <m:e>
            <m:r>
              <m:t>z</m:t>
            </m:r>
          </m:e>
          <m:sub>
            <m:r>
              <m:t>i</m:t>
            </m:r>
          </m:sub>
        </m:sSub>
      </m:oMath>
      <w:r>
        <w:t xml:space="preserve"> </w:t>
      </w:r>
      <w:r>
        <w:t xml:space="preserve">means relative accessibility shifts towards L; negative means the gap shifts in the other direction. A negative value does not imply that C is absolutely better at every time. It can arise because a pre-existing L advantage shrinks.</w:t>
      </w:r>
    </w:p>
    <w:p>
      <w:pPr>
        <w:pStyle w:val="BodyText"/>
      </w:pPr>
      <w:r>
        <w:t xml:space="preserve">The primary population is the explicit six-qubit rotated-injection sampling law. Four qubits and native injection are sensitivity/calibration analyses. No units are selected by their records or by the sign of the result. A descriptive mean, win/loss/tie counts, an approximate unit-bootstrap interval, and a conservative Hoeffding interval are reported. Bootstrap intervals are not distribution-free certificates or external confirmation. No hypothesis margin was tuned to the outcome.</w:t>
      </w:r>
    </w:p>
    <w:bookmarkEnd w:id="23"/>
    <w:bookmarkStart w:id="24" w:name="Xd04c9906979b1fac91aedbfd595153991c2a643"/>
    <w:p>
      <w:pPr>
        <w:pStyle w:val="Heading2"/>
      </w:pPr>
      <w:r>
        <w:t xml:space="preserve">4. Secondary record and uncertainty contract</w:t>
      </w:r>
    </w:p>
    <w:p>
      <w:pPr>
        <w:pStyle w:val="FirstParagraph"/>
      </w:pPr>
      <w:r>
        <w:t xml:space="preserve">New-after-pulse singleton records require initial error at least 0.4999 and final error at most 0.1 throughout one of the four windows [0.5,1.0], [1.0,1.5], [1.5,2.0], [2.0,2.5]. The windows were specified before outcomes. The singleton cap is n. Initial source leakage and pre-existing records are not counted as new.</w:t>
      </w:r>
    </w:p>
    <w:p>
      <w:pPr>
        <w:pStyle w:val="BodyText"/>
      </w:pPr>
      <w:r>
        <w:t xml:space="preserve">For each frame and fragment use the smaller of the global and complement-subtracted Lipschitz constants from the methods paper. A maximum grid gap h gives a continuity allowance Kh/2. Upper certificates include a 1e-9 numerical guard; a failed certificate remains unresolved unless a checkpoint proves failure. Lower and upper possible record counts are retained, not replaced by a one-sided count. A guard checked by a second numerical method is not a formally verified floating-point enclosure: continuum classifications remain conditional on that guard. Checkpoint failures far above threshold nevertheless supply useful numerical evidence against the strict window criterion.</w:t>
      </w:r>
    </w:p>
    <w:p>
      <w:pPr>
        <w:pStyle w:val="BodyText"/>
      </w:pPr>
      <w:r>
        <w:t xml:space="preserve">These counts answer a different question from the continuous primary readability score. Relaxing the threshold after seeing failure would create another exploratory analysis; it is not part of this run.</w:t>
      </w:r>
    </w:p>
    <w:bookmarkEnd w:id="24"/>
    <w:bookmarkStart w:id="25" w:name="controls-and-traceability"/>
    <w:p>
      <w:pPr>
        <w:pStyle w:val="Heading2"/>
      </w:pPr>
      <w:r>
        <w:t xml:space="preserve">5. Controls and traceability</w:t>
      </w:r>
    </w:p>
    <w:p>
      <w:pPr>
        <w:pStyle w:val="FirstParagraph"/>
        <w:keepNext/>
      </w:pPr>
      <w:r>
        <w:rPr>
          <w:b/>
          <w:bCs/>
        </w:rPr>
        <w:t xml:space="preserve">Table 2. Control obligations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851"/>
        <w:gridCol w:w="6981"/>
      </w:tblGrid>
      <w:tr>
        <w:trPr>
          <w:tblHeader w:val="on"/>
          <w:tblHeader/>
          <w:cantSplit/>
        </w:trPr>
        <w:tc>
          <w:tcPr>
            <w:shd w:fill="EAF0F4"/>
            <w:tcW w:type="dxa" w:w="2851"/>
            <w:vAlign w:val="top"/>
          </w:tcPr>
          <w:p>
            <w:pPr>
              <w:pStyle w:val="Compact"/>
              <w:spacing w:after="60" w:line="240" w:lineRule="auto"/>
              <w:jc w:val="left"/>
            </w:pPr>
            <w:r>
              <w:rPr>
                <w:rFonts w:ascii="Carlito" w:hAnsi="Carlito"/>
                <w:b/>
                <w:sz w:val="18"/>
              </w:rPr>
              <w:t xml:space="preserve">Control</w:t>
            </w:r>
          </w:p>
        </w:tc>
        <w:tc>
          <w:tcPr>
            <w:shd w:fill="EAF0F4"/>
            <w:tcW w:type="dxa" w:w="6981"/>
            <w:vAlign w:val="top"/>
          </w:tcPr>
          <w:p>
            <w:pPr>
              <w:pStyle w:val="Compact"/>
              <w:spacing w:after="60" w:line="240" w:lineRule="auto"/>
              <w:jc w:val="left"/>
            </w:pPr>
            <w:r>
              <w:rPr>
                <w:rFonts w:ascii="Carlito" w:hAnsi="Carlito"/>
                <w:b/>
                <w:sz w:val="18"/>
              </w:rPr>
              <w:t xml:space="preserve">Required observation</w:t>
            </w:r>
          </w:p>
        </w:tc>
      </w:tr>
      <w:tr>
        <w:trPr>
          <w:cantSplit/>
        </w:trPr>
        <w:tc>
          <w:tcPr>
            <w:tcW w:type="dxa" w:w="2851"/>
            <w:vAlign w:val="top"/>
          </w:tcPr>
          <w:p>
            <w:pPr>
              <w:pStyle w:val="Compact"/>
              <w:spacing w:after="60" w:line="240" w:lineRule="auto"/>
              <w:jc w:val="left"/>
            </w:pPr>
            <w:r>
              <w:rPr>
                <w:rFonts w:ascii="Carlito" w:hAnsi="Carlito"/>
                <w:sz w:val="18"/>
              </w:rPr>
              <w:t xml:space="preserve">Common unitary after pulse</w:t>
            </w:r>
          </w:p>
        </w:tc>
        <w:tc>
          <w:tcPr>
            <w:tcW w:type="dxa" w:w="6981"/>
            <w:vAlign w:val="top"/>
          </w:tcPr>
          <w:p>
            <w:pPr>
              <w:pStyle w:val="Compact"/>
              <w:spacing w:after="60" w:line="240" w:lineRule="auto"/>
              <w:jc w:val="left"/>
            </w:pPr>
            <w:r>
              <w:rPr>
                <w:rFonts w:ascii="Carlito" w:hAnsi="Carlito"/>
                <w:sz w:val="18"/>
              </w:rPr>
              <w:t xml:space="preserve">Global source-state distinguishability remains one</w:t>
            </w:r>
          </w:p>
        </w:tc>
      </w:tr>
      <w:tr>
        <w:trPr>
          <w:cantSplit/>
        </w:trPr>
        <w:tc>
          <w:tcPr>
            <w:tcW w:type="dxa" w:w="2851"/>
            <w:vAlign w:val="top"/>
          </w:tcPr>
          <w:p>
            <w:pPr>
              <w:pStyle w:val="Compact"/>
              <w:spacing w:after="60" w:line="240" w:lineRule="auto"/>
              <w:jc w:val="left"/>
            </w:pPr>
            <w:r>
              <w:rPr>
                <w:rFonts w:ascii="Carlito" w:hAnsi="Carlito"/>
                <w:sz w:val="18"/>
              </w:rPr>
              <w:t xml:space="preserve">No evolution</w:t>
            </w:r>
          </w:p>
        </w:tc>
        <w:tc>
          <w:tcPr>
            <w:tcW w:type="dxa" w:w="6981"/>
            <w:vAlign w:val="top"/>
          </w:tcPr>
          <w:p>
            <w:pPr>
              <w:pStyle w:val="Compact"/>
              <w:spacing w:after="60" w:line="240" w:lineRule="auto"/>
              <w:jc w:val="left"/>
            </w:pPr>
            <w:r>
              <w:rPr>
                <w:rFonts w:ascii="Carlito" w:hAnsi="Carlito"/>
                <w:sz w:val="18"/>
              </w:rPr>
              <w:t xml:space="preserve">Local readability is constant; new-after-pulse count is zero</w:t>
            </w:r>
          </w:p>
        </w:tc>
      </w:tr>
      <w:tr>
        <w:trPr>
          <w:cantSplit/>
        </w:trPr>
        <w:tc>
          <w:tcPr>
            <w:tcW w:type="dxa" w:w="2851"/>
            <w:vAlign w:val="top"/>
          </w:tcPr>
          <w:p>
            <w:pPr>
              <w:pStyle w:val="Compact"/>
              <w:spacing w:after="60" w:line="240" w:lineRule="auto"/>
              <w:jc w:val="left"/>
            </w:pPr>
            <w:r>
              <w:rPr>
                <w:rFonts w:ascii="Carlito" w:hAnsi="Carlito"/>
                <w:sz w:val="18"/>
              </w:rPr>
              <w:t xml:space="preserve">Identical source branches</w:t>
            </w:r>
          </w:p>
        </w:tc>
        <w:tc>
          <w:tcPr>
            <w:tcW w:type="dxa" w:w="6981"/>
            <w:vAlign w:val="top"/>
          </w:tcPr>
          <w:p>
            <w:pPr>
              <w:pStyle w:val="Compact"/>
              <w:spacing w:after="60" w:line="240" w:lineRule="auto"/>
              <w:jc w:val="left"/>
            </w:pPr>
            <w:r>
              <w:rPr>
                <w:rFonts w:ascii="Carlito" w:hAnsi="Carlito"/>
                <w:sz w:val="18"/>
              </w:rPr>
              <w:t xml:space="preserve">Zero distinguishing information</w:t>
            </w:r>
          </w:p>
        </w:tc>
      </w:tr>
      <w:tr>
        <w:trPr>
          <w:cantSplit/>
        </w:trPr>
        <w:tc>
          <w:tcPr>
            <w:tcW w:type="dxa" w:w="2851"/>
            <w:vAlign w:val="top"/>
          </w:tcPr>
          <w:p>
            <w:pPr>
              <w:pStyle w:val="Compact"/>
              <w:spacing w:after="60" w:line="240" w:lineRule="auto"/>
              <w:jc w:val="left"/>
            </w:pPr>
            <w:r>
              <w:rPr>
                <w:rFonts w:ascii="Carlito" w:hAnsi="Carlito"/>
                <w:sz w:val="18"/>
              </w:rPr>
              <w:t xml:space="preserve">Common passive conjugation</w:t>
            </w:r>
          </w:p>
        </w:tc>
        <w:tc>
          <w:tcPr>
            <w:tcW w:type="dxa" w:w="6981"/>
            <w:vAlign w:val="top"/>
          </w:tcPr>
          <w:p>
            <w:pPr>
              <w:pStyle w:val="Compact"/>
              <w:spacing w:after="60" w:line="240" w:lineRule="auto"/>
              <w:jc w:val="left"/>
            </w:pPr>
            <w:r>
              <w:rPr>
                <w:rFonts w:ascii="Carlito" w:hAnsi="Carlito"/>
                <w:sz w:val="18"/>
              </w:rPr>
              <w:t xml:space="preserve">Same reduced statistics when states, H and access are all transported</w:t>
            </w:r>
          </w:p>
        </w:tc>
      </w:tr>
      <w:tr>
        <w:trPr>
          <w:cantSplit/>
        </w:trPr>
        <w:tc>
          <w:tcPr>
            <w:tcW w:type="dxa" w:w="2851"/>
            <w:vAlign w:val="top"/>
          </w:tcPr>
          <w:p>
            <w:pPr>
              <w:pStyle w:val="Compact"/>
              <w:spacing w:after="60" w:line="240" w:lineRule="auto"/>
              <w:jc w:val="left"/>
            </w:pPr>
            <w:r>
              <w:rPr>
                <w:rFonts w:ascii="Carlito" w:hAnsi="Carlito"/>
                <w:sz w:val="18"/>
              </w:rPr>
              <w:t xml:space="preserve">Exchange-chain calibration</w:t>
            </w:r>
          </w:p>
        </w:tc>
        <w:tc>
          <w:tcPr>
            <w:tcW w:type="dxa" w:w="6981"/>
            <w:vAlign w:val="top"/>
          </w:tcPr>
          <w:p>
            <w:pPr>
              <w:pStyle w:val="Compact"/>
              <w:spacing w:after="60" w:line="240" w:lineRule="auto"/>
              <w:jc w:val="left"/>
            </w:pPr>
            <w:r>
              <w:rPr>
                <w:rFonts w:ascii="Carlito" w:hAnsi="Carlito"/>
                <w:sz w:val="18"/>
              </w:rPr>
              <w:t xml:space="preserve">Full-space evolution agrees with the one-excitation hopping model</w:t>
            </w:r>
          </w:p>
        </w:tc>
      </w:tr>
      <w:tr>
        <w:trPr>
          <w:cantSplit/>
        </w:trPr>
        <w:tc>
          <w:tcPr>
            <w:tcW w:type="dxa" w:w="2851"/>
            <w:vAlign w:val="top"/>
          </w:tcPr>
          <w:p>
            <w:pPr>
              <w:pStyle w:val="Compact"/>
              <w:spacing w:after="60" w:line="240" w:lineRule="auto"/>
              <w:jc w:val="left"/>
            </w:pPr>
            <w:r>
              <w:rPr>
                <w:rFonts w:ascii="Carlito" w:hAnsi="Carlito"/>
                <w:sz w:val="18"/>
              </w:rPr>
              <w:t xml:space="preserve">Two-site transport</w:t>
            </w:r>
          </w:p>
        </w:tc>
        <w:tc>
          <w:tcPr>
            <w:tcW w:type="dxa" w:w="6981"/>
            <w:vAlign w:val="top"/>
          </w:tcPr>
          <w:p>
            <w:pPr>
              <w:pStyle w:val="Compact"/>
              <w:spacing w:after="60" w:line="240" w:lineRule="auto"/>
              <w:jc w:val="left"/>
            </w:pPr>
            <w:r>
              <w:rPr>
                <w:rFonts w:ascii="Carlito" w:hAnsi="Carlito"/>
                <w:sz w:val="18"/>
              </w:rPr>
              <w:t xml:space="preserve">For the vacuum-versus-excitation control, recipient distinguishability is</w:t>
            </w:r>
            <w:r>
              <w:rPr>
                <w:rFonts w:ascii="Carlito" w:hAnsi="Carlito"/>
                <w:sz w:val="18"/>
              </w:rPr>
              <w:t xml:space="preserve"> </w:t>
            </w:r>
            <m:oMath>
              <m:sSup>
                <m:e>
                  <m:r>
                    <m:rPr>
                      <m:sty m:val="p"/>
                      <m:nor m:val="1"/>
                    </m:rPr>
                    <w:rPr>
                      <w:i w:val="0"/>
                    </w:rPr>
                    <m:t>sin</m:t>
                  </m:r>
                </m:e>
                <m:sup>
                  <m:r>
                    <m:t>2</m:t>
                  </m:r>
                </m:sup>
              </m:sSup>
              <m:r>
                <m:t>t</m:t>
              </m:r>
            </m:oMath>
            <w:r>
              <w:rPr>
                <w:rFonts w:ascii="Carlito" w:hAnsi="Carlito"/>
                <w:sz w:val="18"/>
              </w:rPr>
              <w:t xml:space="preserve">; for the pilot phase code it is</w:t>
            </w:r>
            <w:r>
              <w:rPr>
                <w:rFonts w:ascii="Carlito" w:hAnsi="Carlito"/>
                <w:sz w:val="18"/>
              </w:rPr>
              <w:t xml:space="preserve"> </w:t>
            </w:r>
            <m:oMath>
              <m:r>
                <m:rPr>
                  <m:sty m:val="p"/>
                </m:rPr>
                <m:t>∣</m:t>
              </m:r>
              <m:r>
                <m:rPr>
                  <m:sty m:val="p"/>
                  <m:nor m:val="1"/>
                </m:rPr>
                <w:rPr>
                  <w:i w:val="0"/>
                </w:rPr>
                <m:t>sin</m:t>
              </m:r>
              <m:r>
                <m:t>t</m:t>
              </m:r>
              <m:r>
                <m:rPr>
                  <m:sty m:val="p"/>
                </m:rPr>
                <m:t>∣</m:t>
              </m:r>
            </m:oMath>
          </w:p>
        </w:tc>
      </w:tr>
      <w:tr>
        <w:trPr>
          <w:cantSplit/>
        </w:trPr>
        <w:tc>
          <w:tcPr>
            <w:tcW w:type="dxa" w:w="2851"/>
            <w:vAlign w:val="top"/>
          </w:tcPr>
          <w:p>
            <w:pPr>
              <w:pStyle w:val="Compact"/>
              <w:spacing w:after="60" w:line="240" w:lineRule="auto"/>
              <w:jc w:val="left"/>
            </w:pPr>
            <w:r>
              <w:rPr>
                <w:rFonts w:ascii="Carlito" w:hAnsi="Carlito"/>
                <w:sz w:val="18"/>
              </w:rPr>
              <w:t xml:space="preserve">Closed stationary record</w:t>
            </w:r>
          </w:p>
        </w:tc>
        <w:tc>
          <w:tcPr>
            <w:tcW w:type="dxa" w:w="6981"/>
            <w:vAlign w:val="top"/>
          </w:tcPr>
          <w:p>
            <w:pPr>
              <w:pStyle w:val="Compact"/>
              <w:spacing w:after="60" w:line="240" w:lineRule="auto"/>
              <w:jc w:val="left"/>
            </w:pPr>
            <w:r>
              <w:rPr>
                <w:rFonts w:ascii="Carlito" w:hAnsi="Carlito"/>
                <w:sz w:val="18"/>
              </w:rPr>
              <w:t xml:space="preserve">Diagonal H preserves orthogonal product records; openness is not necessary</w:t>
            </w:r>
          </w:p>
        </w:tc>
      </w:tr>
      <w:tr>
        <w:trPr>
          <w:cantSplit/>
        </w:trPr>
        <w:tc>
          <w:tcPr>
            <w:tcW w:type="dxa" w:w="2851"/>
            <w:vAlign w:val="top"/>
          </w:tcPr>
          <w:p>
            <w:pPr>
              <w:pStyle w:val="Compact"/>
              <w:spacing w:after="60" w:line="240" w:lineRule="auto"/>
              <w:jc w:val="left"/>
            </w:pPr>
            <w:r>
              <w:rPr>
                <w:rFonts w:ascii="Carlito" w:hAnsi="Carlito"/>
                <w:sz w:val="18"/>
              </w:rPr>
              <w:t xml:space="preserve">Independent numerical method</w:t>
            </w:r>
          </w:p>
        </w:tc>
        <w:tc>
          <w:tcPr>
            <w:tcW w:type="dxa" w:w="6981"/>
            <w:vAlign w:val="top"/>
          </w:tcPr>
          <w:p>
            <w:pPr>
              <w:pStyle w:val="Compact"/>
              <w:spacing w:after="60" w:line="240" w:lineRule="auto"/>
              <w:jc w:val="left"/>
            </w:pPr>
            <w:r>
              <w:rPr>
                <w:rFonts w:ascii="Carlito" w:hAnsi="Carlito"/>
                <w:sz w:val="18"/>
              </w:rPr>
              <w:t xml:space="preserve">Selected spectral trajectories agree with exponential action and density-matrix partial traces</w:t>
            </w:r>
          </w:p>
        </w:tc>
      </w:tr>
    </w:tbl>
    <w:p>
      <w:pPr>
        <w:pStyle w:val="BodyText"/>
      </w:pPr>
      <w:r>
        <w:t xml:space="preserve">Random streams are generated from SeedSequence(master seed, site count, unit index), with separate child streams for H and circuit gates. Coefficients, per-unit identifiers, effective configuration, raw readability trajectories and execution environment are retained. The local pre-execution receipt records code and specification hashes but is not an independently timestamped registration service. No external specialist has reviewed the pilot.</w:t>
      </w:r>
    </w:p>
    <w:bookmarkEnd w:id="25"/>
    <w:bookmarkStart w:id="26" w:name="Xc912f57213cb4f8b2f0fa4defbd35ac223f7451"/>
    <w:p>
      <w:pPr>
        <w:pStyle w:val="Heading2"/>
      </w:pPr>
      <w:r>
        <w:t xml:space="preserve">6. Stop rule and possible open-system successor</w:t>
      </w:r>
    </w:p>
    <w:p>
      <w:pPr>
        <w:pStyle w:val="FirstParagraph"/>
      </w:pPr>
      <w:r>
        <w:t xml:space="preserve">Run the declared sample once, then inspect it. A fresh identical-seed run is reproduction, not another experiment. No coefficient, threshold, time window or sample size is changed to obtain a favourable answer. Implementation corrections, if necessary, must be logged separately.</w:t>
      </w:r>
    </w:p>
    <w:p>
      <w:pPr>
        <w:pStyle w:val="BodyText"/>
      </w:pPr>
      <w:r>
        <w:t xml:space="preserve">Do not proceed directly to a larger frame contest. First decide whether the target is transport, retention, redundancy or identifying a structure from observations. Those are distinct. A future open-system study would use a source-off Lindblad or collision-model stage, with dissipator operators, reservoir state, temperature assumptions, clock and access all listed as supplied primitives. Include an erasure control with a unique attractive stationary state and a known record-preserving control. Multiple invariant or metastable sectors must be specified rather than assumed from the word dissipation. This successor is NOT EXECUTED and is not activated merely because the closed pilot lacks strong records.</w:t>
      </w:r>
    </w:p>
    <w:p>
      <w:pPr>
        <w:pStyle w:val="BodyText"/>
      </w:pPr>
      <w:r>
        <w:t xml:space="preserve">The next physical identification question would require a response family from multiple independently declared injections, a method that is not given the target frame, and held-out recovery tests. The present two-frame comparison supplies none of those by itself. It is a feasibility result, not hidden metric reconstruction.</w:t>
      </w:r>
    </w:p>
    <w:bookmarkEnd w:id="26"/>
    <w:bookmarkStart w:id="27" w:name="evidence-boundary"/>
    <w:p>
      <w:pPr>
        <w:pStyle w:val="Heading2"/>
      </w:pPr>
      <w:r>
        <w:t xml:space="preserve">7. Evidence boundary</w:t>
      </w:r>
    </w:p>
    <w:p>
      <w:pPr>
        <w:pStyle w:val="FirstParagraph"/>
      </w:pPr>
      <w:r>
        <w:t xml:space="preserve">This protocol is now instantiated by P01-ID1. Its law, primary observable and raw finite outputs can be checked. Its supplied locality, prepared resource, small size and access assumptions prevent any result from establishing the relational-substrate hypothesis, Absolute Infinite Union, global infinity or subject individuation. The mathematical methods paper and the philosophical paper retain their separate evidential standards.</w:t>
      </w:r>
    </w:p>
    <w:bookmarkEnd w:id="27"/>
    <w:bookmarkEnd w:id="28"/>
    <w:sectPr>
      <w:headerReference w:type="default" r:id="rId9"/>
      <w:footerReference w:type="default" r:id="rId10"/>
      <w:pgSz w:w="11905" w:h="16838"/>
      <w:pgMar w:left="1037" w:right="1037" w:top="922" w:bottom="907" w:header="331" w:footer="3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Review edition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P01: source-off information redistribution</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54" w:lineRule="auto"/>
    </w:pPr>
    <w:rPr>
      <w:rFonts w:ascii="Carlito" w:hAnsi="Carlito"/>
      <w:sz w:val="21"/>
    </w:rPr>
  </w:style>
  <w:style w:styleId="BodyText" w:type="paragraph">
    <w:name w:val="Body Text"/>
    <w:basedOn w:val="Normal"/>
    <w:link w:val="BodyTextChar"/>
    <w:qFormat/>
    <w:pPr>
      <w:widowControl/>
      <w:spacing w:after="100" w:before="180" w:line="254" w:lineRule="auto"/>
    </w:pPr>
    <w:rPr>
      <w:rFonts w:ascii="Carlito" w:hAnsi="Carlito"/>
      <w:sz w:val="21"/>
    </w:rPr>
  </w:style>
  <w:style w:customStyle="1" w:styleId="FirstParagraph" w:type="paragraph">
    <w:name w:val="First Paragraph"/>
    <w:basedOn w:val="BodyText"/>
    <w:next w:val="BodyText"/>
    <w:qFormat/>
    <w:pPr>
      <w:widowControl/>
      <w:spacing w:after="100" w:line="254" w:lineRule="auto"/>
    </w:pPr>
    <w:rPr>
      <w:rFonts w:ascii="Carlito" w:hAnsi="Carlito"/>
      <w:sz w:val="21"/>
    </w:rPr>
  </w:style>
  <w:style w:customStyle="1" w:styleId="Compact" w:type="paragraph">
    <w:name w:val="Compact"/>
    <w:basedOn w:val="BodyText"/>
    <w:qFormat/>
    <w:pPr>
      <w:widowControl/>
      <w:spacing w:after="100" w:before="36" w:line="254" w:lineRule="auto"/>
    </w:pPr>
    <w:rPr>
      <w:rFonts w:ascii="Carlito" w:hAnsi="Carlito"/>
      <w:sz w:val="21"/>
    </w:rPr>
  </w:style>
  <w:style w:styleId="Title" w:type="paragraph">
    <w:name w:val="Title"/>
    <w:basedOn w:val="Normal"/>
    <w:next w:val="BodyText"/>
    <w:qFormat/>
    <w:pPr>
      <w:keepNext/>
      <w:keepLines/>
      <w:widowControl/>
      <w:spacing w:after="120" w:before="220" w:line="254" w:lineRule="auto"/>
      <w:jc w:val="center"/>
    </w:pPr>
    <w:rPr>
      <w:rFonts w:asciiTheme="majorHAnsi" w:cstheme="majorBidi" w:eastAsiaTheme="majorEastAsia" w:hAnsiTheme="majorHAnsi" w:ascii="Carlito" w:hAnsi="Carlito"/>
      <w:b w:val="0"/>
      <w:bCs/>
      <w:color w:val="253C50"/>
      <w:sz w:val="46"/>
      <w:szCs w:val="36"/>
    </w:rPr>
  </w:style>
  <w:style w:styleId="Subtitle" w:type="paragraph">
    <w:name w:val="Subtitle"/>
    <w:basedOn w:val="Title"/>
    <w:next w:val="BodyText"/>
    <w:qFormat/>
    <w:pPr>
      <w:keepNext/>
      <w:keepLines/>
      <w:widowControl/>
      <w:spacing w:after="120" w:before="220" w:line="254" w:lineRule="auto"/>
      <w:jc w:val="center"/>
    </w:pPr>
    <w:rPr>
      <w:rFonts w:ascii="Carlito" w:hAnsi="Carlito"/>
      <w:b w:val="0"/>
      <w:color w:val="253C50"/>
      <w:sz w:val="28"/>
      <w:szCs w:val="30"/>
    </w:rPr>
  </w:style>
  <w:style w:customStyle="1" w:styleId="Author" w:type="paragraph">
    <w:name w:val="Author"/>
    <w:next w:val="BodyText"/>
    <w:qFormat/>
    <w:pPr>
      <w:keepNext/>
      <w:keepLines/>
      <w:widowControl/>
      <w:spacing w:after="100" w:line="254" w:lineRule="auto"/>
      <w:jc w:val="center"/>
    </w:pPr>
    <w:rPr>
      <w:rFonts w:ascii="Carlito" w:hAnsi="Carlito"/>
      <w:sz w:val="21"/>
    </w:rPr>
  </w:style>
  <w:style w:styleId="Date" w:type="paragraph">
    <w:name w:val="Date"/>
    <w:next w:val="BodyText"/>
    <w:qFormat/>
    <w:pPr>
      <w:keepNext/>
      <w:keepLines/>
      <w:widowControl/>
      <w:spacing w:after="100" w:line="254" w:lineRule="auto"/>
      <w:jc w:val="center"/>
    </w:pPr>
    <w:rPr>
      <w:rFonts w:ascii="Carlito" w:hAnsi="Carlito"/>
      <w:sz w:val="21"/>
    </w:rPr>
  </w:style>
  <w:style w:customStyle="1" w:styleId="AbstractTitle" w:type="paragraph">
    <w:name w:val="Abstract Title"/>
    <w:basedOn w:val="Normal"/>
    <w:next w:val="Abstract"/>
    <w:qFormat/>
    <w:pPr>
      <w:keepNext/>
      <w:keepLines/>
      <w:widowControl/>
      <w:spacing w:after="100" w:before="300" w:line="254" w:lineRule="auto"/>
      <w:jc w:val="center"/>
    </w:pPr>
    <w:rPr>
      <w:rFonts w:ascii="Carlito" w:hAnsi="Carlito"/>
      <w:b/>
      <w:color w:val="345A8A"/>
      <w:sz w:val="21"/>
      <w:szCs w:val="20"/>
    </w:rPr>
  </w:style>
  <w:style w:customStyle="1" w:styleId="Abstract" w:type="paragraph">
    <w:name w:val="Abstract"/>
    <w:basedOn w:val="Normal"/>
    <w:next w:val="BodyText"/>
    <w:qFormat/>
    <w:pPr>
      <w:keepNext/>
      <w:keepLines/>
      <w:widowControl/>
      <w:spacing w:after="100" w:before="100" w:line="254" w:lineRule="auto"/>
    </w:pPr>
    <w:rPr>
      <w:rFonts w:ascii="Carlito" w:hAnsi="Carlito"/>
      <w:sz w:val="21"/>
      <w:szCs w:val="20"/>
    </w:rPr>
  </w:style>
  <w:style w:styleId="Bibliography" w:type="paragraph">
    <w:name w:val="Bibliography"/>
    <w:basedOn w:val="Normal"/>
    <w:next w:val="Bibliography"/>
    <w:qFormat/>
    <w:pPr>
      <w:widowControl/>
      <w:spacing w:after="100" w:line="254" w:lineRule="auto"/>
    </w:pPr>
    <w:rPr>
      <w:rFonts w:ascii="Carlito" w:hAnsi="Carlito"/>
      <w:sz w:val="21"/>
    </w:rPr>
  </w:style>
  <w:style w:styleId="Heading1" w:type="paragraph">
    <w:name w:val="Heading 1"/>
    <w:basedOn w:val="Normal"/>
    <w:next w:val="BodyText"/>
    <w:uiPriority w:val="9"/>
    <w:qFormat/>
    <w:pPr>
      <w:keepNext/>
      <w:keepLines/>
      <w:widowControl/>
      <w:spacing w:after="120" w:before="220" w:line="254" w:lineRule="auto"/>
      <w:outlineLvl w:val="0"/>
    </w:pPr>
    <w:rPr>
      <w:rFonts w:asciiTheme="majorHAnsi" w:cstheme="majorBidi" w:eastAsiaTheme="majorEastAsia" w:hAnsiTheme="majorHAnsi" w:ascii="Carlito" w:hAnsi="Carlito"/>
      <w:b/>
      <w:bCs/>
      <w:color w:val="253C50"/>
      <w:sz w:val="30"/>
      <w:szCs w:val="32"/>
    </w:rPr>
  </w:style>
  <w:style w:styleId="Heading2" w:type="paragraph">
    <w:name w:val="Heading 2"/>
    <w:basedOn w:val="Normal"/>
    <w:next w:val="BodyText"/>
    <w:uiPriority w:val="9"/>
    <w:unhideWhenUsed/>
    <w:qFormat/>
    <w:pPr>
      <w:keepNext/>
      <w:keepLines/>
      <w:widowControl/>
      <w:spacing w:after="120" w:before="220" w:line="254" w:lineRule="auto"/>
      <w:outlineLvl w:val="1"/>
    </w:pPr>
    <w:rPr>
      <w:rFonts w:asciiTheme="majorHAnsi" w:cstheme="majorBidi" w:eastAsiaTheme="majorEastAsia" w:hAnsiTheme="majorHAnsi" w:ascii="Carlito" w:hAnsi="Carlito"/>
      <w:b/>
      <w:bCs/>
      <w:color w:val="253C50"/>
      <w:sz w:val="24"/>
      <w:szCs w:val="28"/>
    </w:rPr>
  </w:style>
  <w:style w:styleId="Heading3" w:type="paragraph">
    <w:name w:val="Heading 3"/>
    <w:basedOn w:val="Normal"/>
    <w:next w:val="BodyText"/>
    <w:uiPriority w:val="9"/>
    <w:unhideWhenUsed/>
    <w:qFormat/>
    <w:pPr>
      <w:keepNext/>
      <w:keepLines/>
      <w:widowControl/>
      <w:spacing w:after="120" w:before="220" w:line="254" w:lineRule="auto"/>
      <w:outlineLvl w:val="2"/>
    </w:pPr>
    <w:rPr>
      <w:rFonts w:asciiTheme="majorHAnsi" w:cstheme="majorBidi" w:eastAsiaTheme="majorEastAsia" w:hAnsiTheme="majorHAnsi" w:ascii="Carlito" w:hAnsi="Carlito"/>
      <w:b/>
      <w:bCs/>
      <w:color w:val="253C50"/>
      <w:sz w:val="22"/>
      <w:szCs w:val="24"/>
    </w:rPr>
  </w:style>
  <w:style w:styleId="Heading4" w:type="paragraph">
    <w:name w:val="Heading 4"/>
    <w:basedOn w:val="Normal"/>
    <w:next w:val="BodyText"/>
    <w:uiPriority w:val="9"/>
    <w:unhideWhenUsed/>
    <w:qFormat/>
    <w:pPr>
      <w:keepNext/>
      <w:keepLines/>
      <w:widowControl/>
      <w:spacing w:after="100" w:before="200" w:line="254" w:lineRule="auto"/>
      <w:outlineLvl w:val="3"/>
    </w:pPr>
    <w:rPr>
      <w:rFonts w:asciiTheme="majorHAnsi" w:cstheme="majorBidi" w:eastAsiaTheme="majorEastAsia" w:hAnsiTheme="majorHAnsi" w:ascii="Carlito" w:hAnsi="Carlito"/>
      <w:bCs/>
      <w:i/>
      <w:color w:themeColor="accent1" w:val="4F81BD"/>
      <w:sz w:val="21"/>
      <w:szCs w:val="24"/>
    </w:rPr>
  </w:style>
  <w:style w:styleId="Heading5" w:type="paragraph">
    <w:name w:val="Heading 5"/>
    <w:basedOn w:val="Normal"/>
    <w:next w:val="BodyText"/>
    <w:uiPriority w:val="9"/>
    <w:unhideWhenUsed/>
    <w:qFormat/>
    <w:pPr>
      <w:keepNext/>
      <w:keepLines/>
      <w:widowControl/>
      <w:spacing w:after="100" w:before="200" w:line="254" w:lineRule="auto"/>
      <w:outlineLvl w:val="4"/>
    </w:pPr>
    <w:rPr>
      <w:rFonts w:asciiTheme="majorHAnsi" w:cstheme="majorBidi" w:eastAsiaTheme="majorEastAsia" w:hAnsiTheme="majorHAnsi" w:ascii="Carlito" w:hAnsi="Carlito"/>
      <w:iCs/>
      <w:color w:themeColor="accent1" w:val="4F81BD"/>
      <w:sz w:val="21"/>
      <w:szCs w:val="24"/>
    </w:rPr>
  </w:style>
  <w:style w:styleId="Heading6" w:type="paragraph">
    <w:name w:val="Heading 6"/>
    <w:basedOn w:val="Normal"/>
    <w:next w:val="BodyText"/>
    <w:uiPriority w:val="9"/>
    <w:unhideWhenUsed/>
    <w:qFormat/>
    <w:pPr>
      <w:keepNext/>
      <w:keepLines/>
      <w:widowControl/>
      <w:spacing w:after="100" w:before="200" w:line="254" w:lineRule="auto"/>
      <w:outlineLvl w:val="5"/>
    </w:pPr>
    <w:rPr>
      <w:rFonts w:asciiTheme="majorHAnsi" w:cstheme="majorBidi" w:eastAsiaTheme="majorEastAsia" w:hAnsiTheme="majorHAnsi" w:ascii="Carlito" w:hAnsi="Carlito"/>
      <w:color w:themeColor="accent1" w:val="4F81BD"/>
      <w:sz w:val="21"/>
      <w:szCs w:val="24"/>
    </w:rPr>
  </w:style>
  <w:style w:styleId="Heading7" w:type="paragraph">
    <w:name w:val="Heading 7"/>
    <w:basedOn w:val="Normal"/>
    <w:next w:val="BodyText"/>
    <w:uiPriority w:val="9"/>
    <w:unhideWhenUsed/>
    <w:qFormat/>
    <w:pPr>
      <w:keepNext/>
      <w:keepLines/>
      <w:widowControl/>
      <w:spacing w:after="100" w:before="200" w:line="254" w:lineRule="auto"/>
      <w:outlineLvl w:val="6"/>
    </w:pPr>
    <w:rPr>
      <w:rFonts w:asciiTheme="majorHAnsi" w:cstheme="majorBidi" w:eastAsiaTheme="majorEastAsia" w:hAnsiTheme="majorHAnsi" w:ascii="Carlito" w:hAnsi="Carlito"/>
      <w:color w:themeColor="accent1" w:val="4F81BD"/>
      <w:sz w:val="21"/>
      <w:szCs w:val="24"/>
    </w:rPr>
  </w:style>
  <w:style w:styleId="Heading8" w:type="paragraph">
    <w:name w:val="Heading 8"/>
    <w:basedOn w:val="Normal"/>
    <w:next w:val="BodyText"/>
    <w:uiPriority w:val="9"/>
    <w:unhideWhenUsed/>
    <w:qFormat/>
    <w:pPr>
      <w:keepNext/>
      <w:keepLines/>
      <w:widowControl/>
      <w:spacing w:after="100" w:before="200" w:line="254" w:lineRule="auto"/>
      <w:outlineLvl w:val="7"/>
    </w:pPr>
    <w:rPr>
      <w:rFonts w:asciiTheme="majorHAnsi" w:cstheme="majorBidi" w:eastAsiaTheme="majorEastAsia" w:hAnsiTheme="majorHAnsi" w:ascii="Carlito" w:hAnsi="Carlito"/>
      <w:color w:themeColor="accent1" w:val="4F81BD"/>
      <w:sz w:val="21"/>
      <w:szCs w:val="24"/>
    </w:rPr>
  </w:style>
  <w:style w:styleId="Heading9" w:type="paragraph">
    <w:name w:val="Heading 9"/>
    <w:basedOn w:val="Normal"/>
    <w:next w:val="BodyText"/>
    <w:uiPriority w:val="9"/>
    <w:unhideWhenUsed/>
    <w:qFormat/>
    <w:pPr>
      <w:keepNext/>
      <w:keepLines/>
      <w:widowControl/>
      <w:spacing w:after="100" w:before="200" w:line="254" w:lineRule="auto"/>
      <w:outlineLvl w:val="8"/>
    </w:pPr>
    <w:rPr>
      <w:rFonts w:asciiTheme="majorHAnsi" w:cstheme="majorBidi" w:eastAsiaTheme="majorEastAsia" w:hAnsiTheme="majorHAnsi" w:ascii="Carlito" w:hAnsi="Carlito"/>
      <w:color w:themeColor="accent1" w:val="4F81BD"/>
      <w:sz w:val="21"/>
      <w:szCs w:val="24"/>
    </w:rPr>
  </w:style>
  <w:style w:styleId="BlockText" w:type="paragraph">
    <w:name w:val="Block Text"/>
    <w:basedOn w:val="BodyText"/>
    <w:next w:val="BodyText"/>
    <w:uiPriority w:val="9"/>
    <w:unhideWhenUsed/>
    <w:qFormat/>
    <w:pPr>
      <w:widowControl/>
      <w:spacing w:after="100" w:before="100" w:line="254" w:lineRule="auto"/>
      <w:ind w:firstLine="0" w:left="480" w:right="480"/>
    </w:pPr>
    <w:rPr>
      <w:rFonts w:ascii="Carlito" w:hAnsi="Carlito"/>
      <w:sz w:val="21"/>
    </w:rPr>
  </w:style>
  <w:style w:styleId="FootnoteText" w:type="paragraph">
    <w:name w:val="Footnote Text"/>
    <w:basedOn w:val="Normal"/>
    <w:next w:val="FootnoteText"/>
    <w:uiPriority w:val="9"/>
    <w:unhideWhenUsed/>
    <w:qFormat/>
    <w:pPr>
      <w:widowControl/>
      <w:spacing w:after="100" w:line="254" w:lineRule="auto"/>
    </w:pPr>
    <w:rPr>
      <w:rFonts w:ascii="Carlito" w:hAnsi="Carlito"/>
      <w:sz w:val="21"/>
    </w:rPr>
  </w:style>
  <w:style w:styleId="FootnoteBlockText" w:type="paragraph">
    <w:name w:val="Footnote Block Text"/>
    <w:basedOn w:val="Footnote Text"/>
    <w:next w:val="Footnote Text"/>
    <w:uiPriority w:val="9"/>
    <w:unhideWhenUsed/>
    <w:qFormat/>
    <w:pPr>
      <w:widowControl/>
      <w:spacing w:after="100" w:before="100" w:line="254" w:lineRule="auto"/>
      <w:ind w:firstLine="0" w:left="480" w:right="480"/>
    </w:pPr>
    <w:rPr>
      <w:rFonts w:ascii="Carlito" w:hAnsi="Carlito"/>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widowControl/>
      <w:spacing w:after="100" w:line="254" w:lineRule="auto"/>
    </w:pPr>
    <w:rPr>
      <w:rFonts w:ascii="Carlito" w:hAnsi="Carlito"/>
      <w:b/>
      <w:sz w:val="21"/>
    </w:rPr>
  </w:style>
  <w:style w:customStyle="1" w:styleId="Definition" w:type="paragraph">
    <w:name w:val="Definition"/>
    <w:basedOn w:val="Normal"/>
    <w:pPr>
      <w:widowControl/>
      <w:spacing w:after="100" w:line="254" w:lineRule="auto"/>
    </w:pPr>
    <w:rPr>
      <w:rFonts w:ascii="Carlito" w:hAnsi="Carlito"/>
      <w:sz w:val="21"/>
    </w:rPr>
  </w:style>
  <w:style w:styleId="Caption" w:type="paragraph">
    <w:name w:val="Caption"/>
    <w:basedOn w:val="Normal"/>
    <w:link w:val="BodyTextChar"/>
    <w:pPr>
      <w:widowControl/>
      <w:spacing w:after="100" w:before="0" w:line="254" w:lineRule="auto"/>
    </w:pPr>
    <w:rPr>
      <w:rFonts w:ascii="Carlito" w:hAnsi="Carlito"/>
      <w:i/>
      <w:sz w:val="21"/>
    </w:rPr>
  </w:style>
  <w:style w:customStyle="1" w:styleId="TableCaption" w:type="paragraph">
    <w:name w:val="Table Caption"/>
    <w:basedOn w:val="Caption"/>
    <w:pPr>
      <w:keepNext/>
      <w:widowControl/>
      <w:spacing w:after="100" w:line="254" w:lineRule="auto"/>
    </w:pPr>
    <w:rPr>
      <w:rFonts w:ascii="Carlito" w:hAnsi="Carlito"/>
      <w:sz w:val="21"/>
    </w:rPr>
  </w:style>
  <w:style w:customStyle="1" w:styleId="ImageCaption" w:type="paragraph">
    <w:name w:val="Image Caption"/>
    <w:basedOn w:val="Caption"/>
    <w:pPr>
      <w:widowControl/>
      <w:spacing w:after="100" w:line="254" w:lineRule="auto"/>
    </w:pPr>
    <w:rPr>
      <w:rFonts w:ascii="Carlito" w:hAnsi="Carlito"/>
      <w:sz w:val="21"/>
    </w:rPr>
  </w:style>
  <w:style w:customStyle="1" w:styleId="Figure" w:type="paragraph">
    <w:name w:val="Figure"/>
    <w:basedOn w:val="Normal"/>
    <w:pPr>
      <w:widowControl/>
      <w:spacing w:after="100" w:line="254" w:lineRule="auto"/>
    </w:pPr>
    <w:rPr>
      <w:rFonts w:ascii="Carlito" w:hAnsi="Carlito"/>
      <w:sz w:val="21"/>
    </w:rPr>
  </w:style>
  <w:style w:customStyle="1" w:styleId="CaptionedFigure" w:type="paragraph">
    <w:name w:val="Captioned Figure"/>
    <w:basedOn w:val="Figure"/>
    <w:pPr>
      <w:keepNext/>
      <w:widowControl/>
      <w:spacing w:after="100" w:line="254" w:lineRule="auto"/>
    </w:pPr>
    <w:rPr>
      <w:rFonts w:ascii="Carlito" w:hAnsi="Carlito"/>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hAnsi="DejaVu Sans Mono"/>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4" w:lineRule="auto" w:after="100"/>
      <w:outlineLvl w:val="9"/>
    </w:pPr>
    <w:rPr>
      <w:rFonts w:asciiTheme="majorHAnsi" w:cstheme="majorBidi" w:eastAsiaTheme="majorEastAsia" w:hAnsiTheme="majorHAnsi" w:ascii="Carlito" w:hAnsi="Carlito"/>
      <w:b w:val="0"/>
      <w:bCs w:val="0"/>
      <w:color w:themeColor="accent1" w:themeShade="BF" w:val="365F91"/>
      <w:sz w:val="21"/>
    </w:rPr>
  </w:style>
  <w:style w:type="paragraph" w:customStyle="1" w:styleId="SourceCode">
    <w:name w:val="Source Code"/>
    <w:basedOn w:val="Normal"/>
    <w:link w:val="VerbatimChar"/>
    <w:pPr>
      <w:widowControl/>
      <w:wordWrap w:val="off"/>
      <w:spacing w:after="100" w:line="254" w:lineRule="auto"/>
    </w:pP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CaptionedFigure">
    <w:name w:val="CaptionedFigure"/>
  </w:style>
  <w:style w:type="paragraph" w:customStyle="1" w:styleId="footer">
    <w:name w:val="footer"/>
    <w:rPr>
      <w:rFonts w:ascii="Carlito" w:hAnsi="Carlito"/>
      <w:sz w:val="16"/>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P01: source-off information redistribution</dc:title>
  <dc:creator>James McGaughran</dc:creator>
  <cp:keywords/>
  <dcterms:created xsi:type="dcterms:W3CDTF">2026-09-26T11:16:33Z</dcterms:created>
  <dcterms:modified xsi:type="dcterms:W3CDTF">2026-09-26T11:16:33Z</dcterms:modified>
  <dc:subject>ORSH/AIU v1.8 external review edition; canonical source P01_Post_Injection_Protocol_v1_3.md</dc:subject>
  <dc:description>Generated from the supplied canonical Markdown; not an independent prose source.</dc:description>
</cp:coreProperties>
</file>

<file path=docProps/custom.xml><?xml version="1.0" encoding="utf-8"?>
<Properties xmlns="http://schemas.openxmlformats.org/officeDocument/2006/custom-properties" xmlns:vt="http://schemas.openxmlformats.org/officeDocument/2006/docPropsVTypes"/>
</file>