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frame-aligned-records"/>
    <w:p>
      <w:pPr>
        <w:pStyle w:val="Title"/>
      </w:pPr>
      <w:r>
        <w:t xml:space="preserve">Frame-Aligned Records</w:t>
      </w:r>
    </w:p>
    <w:bookmarkStart w:id="20" w:name="Xf3d7ba3d6e5e1edd3f6b78c211a008972ab013b"/>
    <w:p>
      <w:pPr>
        <w:pStyle w:val="Heading2"/>
      </w:pPr>
      <w:r>
        <w:t xml:space="preserve">Exact safeguards for locality-record comparisons</w:t>
      </w:r>
    </w:p>
    <w:p>
      <w:pPr>
        <w:pStyle w:val="FirstParagraph"/>
      </w:pPr>
      <w:r>
        <w:rPr>
          <w:b/>
          <w:bCs/>
        </w:rPr>
        <w:t xml:space="preserve">James McGaughran</w:t>
      </w:r>
    </w:p>
    <w:p>
      <w:pPr>
        <w:pStyle w:val="BodyText"/>
      </w:pPr>
      <w:r>
        <w:t xml:space="preserve">MathGov / RippleLogic Research Program</w:t>
      </w:r>
    </w:p>
    <w:p>
      <w:pPr>
        <w:pStyle w:val="BodyText"/>
      </w:pPr>
      <w:r>
        <w:t xml:space="preserve">26 September 2026 | Review manuscript v0.5</w:t>
      </w:r>
    </w:p>
    <w:bookmarkEnd w:id="20"/>
    <w:bookmarkEnd w:id="21"/>
    <w:bookmarkStart w:id="22" w:name="abstract"/>
    <w:p>
      <w:pPr>
        <w:pStyle w:val="Heading1"/>
      </w:pPr>
      <w:r>
        <w:t xml:space="preserve">Abstract</w:t>
      </w:r>
    </w:p>
    <w:p>
      <w:pPr>
        <w:pStyle w:val="FirstParagraph"/>
      </w:pPr>
      <w:r>
        <w:t xml:space="preserve">Which subsystem descriptions make quantum dynamics simple, and which support informative records? We develop three safeguards for comparing them: access-aware equivalence, valid inferential targets, and uncertainty-aware record certification. A centred projection score is bounded and energy-origin invariant. Covariant preparations obey spectral-block restrictions, while conditional typicality constrains state-adaptive selection within a predetermined, quantitatively bounded family. Equal higher-weight operator spans need not define equal access, restricted permutation references can be miscalibrated, and unequal certificate tightness must not become an apparent physical advantage. A source-off pilot illustrates why the estimand matters. Its predeclared six-qubit readability-change mean is negative, -0.015225. A subsequent paired factorial extension instead compares two Hamiltonian orientations at fixed injection and finds positive intervention contrasts, approximately 0.0105 and 0.0126 at six qubits. Reproduction and a finite-family variance-sensitive analysis support those contrasts under the specified sampling law. The two signs are compatible because their counterfactuals differ. Rotating the Hamiltonian is not an intervention on locality alone, and finite propagation bounds do not establish the sign of this readability statistic. The paper supplies reusable comparison safeguards, not a new decoherence mechanism, an identified spacetime metric or a consciousness result.</w:t>
      </w:r>
    </w:p>
    <w:p>
      <w:pPr>
        <w:pStyle w:val="BodyText"/>
      </w:pPr>
      <w:r>
        <w:rPr>
          <w:b/>
          <w:bCs/>
        </w:rPr>
        <w:t xml:space="preserve">Keywords:</w:t>
      </w:r>
      <w:r>
        <w:t xml:space="preserve"> </w:t>
      </w:r>
      <w:r>
        <w:t xml:space="preserve">quantum mereology; quantum records; conditional typicality; locality; statistical inference; reproducibility.</w:t>
      </w:r>
    </w:p>
    <w:bookmarkEnd w:id="22"/>
    <w:bookmarkStart w:id="26" w:name="introduction"/>
    <w:p>
      <w:pPr>
        <w:pStyle w:val="Heading1"/>
      </w:pPr>
      <w:r>
        <w:t xml:space="preserve">1. Introduction</w:t>
      </w:r>
    </w:p>
    <w:bookmarkStart w:id="23" w:name="the-question"/>
    <w:p>
      <w:pPr>
        <w:pStyle w:val="Heading2"/>
      </w:pPr>
      <w:r>
        <w:t xml:space="preserve">1.1 The question</w:t>
      </w:r>
    </w:p>
    <w:p>
      <w:pPr>
        <w:pStyle w:val="FirstParagraph"/>
      </w:pPr>
      <w:r>
        <w:t xml:space="preserve">Decoherence and quantum Darwinism explain how certain observables of a system become stably and redundantly recorded in an environment, given a decomposition of the global Hilbert space into system and environment [Zurek 2003; Ollivier, Poulin and Zurek 2004; Zurek 2009]. The decomposition itself is usually supplied. Work on quantum mereology asks where it comes from: which tensor-product structures (TPS) are singled out by a Hamiltonian, a state, or an operational criterion [Zanardi 2001; Zanardi, Lidar and Lloyd 2004; Cotler, Penington and Ranard 2019; Carroll and Singh 2021; Zanardi, Dallas, Andreadakis and Lloyd 2024]. Two families of criteria have been developed largely in parallel. Locality criteria select structures in which the Hamiltonian is a sum of few-body or graph-local terms. Classicality criteria select structures that host robust pointer states or redundant records [Riedel 2017; Adil et al. 2026].</w:t>
      </w:r>
    </w:p>
    <w:p>
      <w:pPr>
        <w:pStyle w:val="BodyText"/>
      </w:pPr>
      <w:r>
        <w:t xml:space="preserve">A natural question joins them: across an ensemble of models, do the candidate structures that are nearly optimal for dynamical locality coincide with those that are nearly optimal for persistent, informative records more often than a declared chance baseline predicts? We call this the locality-record compatibility question. It is implicit in programmes that seek to recover classical, spatially organised descriptions from minimal quantum ingredients, with conditional model-class formulations stated in Section 7. Recent results pull in different directions. Riedel showed that, given the TPS associated with spatial locality, the requirement of redundant local records strongly constrains branch decompositions [Riedel 2017]. Adil et al. found that a fixed Hamiltonian can admit many factorizations with robust pointer states, and that decohering subsystems need not align with the usual notion of locality [Adil et al. 2026]. Whether a Hamiltonian alone determines a TPS is itself disputed [Stoica 2022; Soulas, Franzmann and Di Biagio 2025; Stoica 2026].</w:t>
      </w:r>
    </w:p>
    <w:bookmarkEnd w:id="23"/>
    <w:bookmarkStart w:id="24" w:name="why-the-question-is-easy-to-trivialise"/>
    <w:p>
      <w:pPr>
        <w:pStyle w:val="Heading2"/>
      </w:pPr>
      <w:r>
        <w:t xml:space="preserve">1.2 Why the question is easy to trivialise</w:t>
      </w:r>
    </w:p>
    <w:p>
      <w:pPr>
        <w:pStyle w:val="FirstParagraph"/>
      </w:pPr>
      <w:r>
        <w:t xml:space="preserve">A test of compatibility must score many candidate structures under one physical history and compare the two sets of near-optimal candidates. Three choices can decide the outcome before any physics is done.</w:t>
      </w:r>
    </w:p>
    <w:p>
      <w:pPr>
        <w:pStyle w:val="BodyText"/>
      </w:pPr>
      <w:r>
        <w:t xml:space="preserve">The score may be ill-posed. An uncentered numerator divided by the centered Hamiltonian norm is unbounded when its orthogonal projection omits the identity; candidates that differ only by a local unitary or a relabelling may be counted as distinct and inflate overlap.</w:t>
      </w:r>
    </w:p>
    <w:p>
      <w:pPr>
        <w:pStyle w:val="BodyText"/>
      </w:pPr>
      <w:r>
        <w:t xml:space="preserve">The preparation may be uninformative. A deterministic, fully covariant Hamiltonian-only preparation is stationary under that same autonomous Hamiltonian. This does not exclude pre-existing records or conditional dynamics hidden by a stationary average. Under conditional Haar assumptions, qualification becomes unlikely in a specified small-fragment regime, but is not impossible (Proposition 3).</w:t>
      </w:r>
    </w:p>
    <w:p>
      <w:pPr>
        <w:pStyle w:val="BodyText"/>
      </w:pPr>
      <w:r>
        <w:t xml:space="preserve">The null may be miscalibrated. A uniform pairing of candidate labels mistakes duplicated candidates for independent opportunities, and a recording-friendly design with the preparation, coupling and dynamics aligned can build much of the desired coincidence into its inputs. Alignment alone does not guarantee records for every Hamiltonian or time window.</w:t>
      </w:r>
    </w:p>
    <w:bookmarkEnd w:id="24"/>
    <w:bookmarkStart w:id="25" w:name="contributions"/>
    <w:p>
      <w:pPr>
        <w:pStyle w:val="Heading2"/>
      </w:pPr>
      <w:r>
        <w:t xml:space="preserve">1.3 Contributions</w:t>
      </w:r>
    </w:p>
    <w:p>
      <w:pPr>
        <w:pStyle w:val="FirstParagraph"/>
      </w:pPr>
      <w:r>
        <w:t xml:space="preserve">Three failure modes organize the contribution.</w:t>
      </w:r>
    </w:p>
    <w:p>
      <w:pPr>
        <w:pStyle w:val="Compact"/>
        <w:numPr>
          <w:ilvl w:val="0"/>
          <w:numId w:val="1001"/>
        </w:numPr>
      </w:pPr>
      <w:r>
        <w:rPr>
          <w:b/>
          <w:bCs/>
        </w:rPr>
        <w:t xml:space="preserve">Mistaking a convenient description for an equivalent physical access structure.</w:t>
      </w:r>
      <w:r>
        <w:t xml:space="preserve"> </w:t>
      </w:r>
      <w:r>
        <w:t xml:space="preserve">The centred score and full operational stabilizer make comparisons well posed. The controlled-NOT counterexample shows why equal higher-weight spans alone do not suffice (Sections 2 and 3).</w:t>
      </w:r>
    </w:p>
    <w:p>
      <w:pPr>
        <w:pStyle w:val="Compact"/>
        <w:numPr>
          <w:ilvl w:val="0"/>
          <w:numId w:val="1001"/>
        </w:numPr>
      </w:pPr>
      <w:r>
        <w:rPr>
          <w:b/>
          <w:bCs/>
        </w:rPr>
        <w:t xml:space="preserve">Mistaking an analysis convention for evidence.</w:t>
      </w:r>
      <w:r>
        <w:t xml:space="preserve"> </w:t>
      </w:r>
      <w:r>
        <w:t xml:space="preserve">Explicit reference assumptions, the exact derangement counterexample, and the distinction between a change from frozen evolution and a paired Hamiltonian-orientation intervention prevent different questions from borrowing each other’s verdicts (Sections 5 and 6).</w:t>
      </w:r>
    </w:p>
    <w:p>
      <w:pPr>
        <w:pStyle w:val="Compact"/>
        <w:numPr>
          <w:ilvl w:val="0"/>
          <w:numId w:val="1001"/>
        </w:numPr>
      </w:pPr>
      <w:r>
        <w:rPr>
          <w:b/>
          <w:bCs/>
        </w:rPr>
        <w:t xml:space="preserve">Mistaking a numerical limitation for absent records.</w:t>
      </w:r>
      <w:r>
        <w:t xml:space="preserve"> </w:t>
      </w:r>
      <w:r>
        <w:t xml:space="preserve">Lower and upper count bounds propagate unresolved certification into inference. Conditional preparation and finite-cover results delimit when a chosen search family can find records (Section 7.3.1; Appendices C to F).</w:t>
      </w:r>
    </w:p>
    <w:p>
      <w:pPr>
        <w:pStyle w:val="FirstParagraph"/>
      </w:pPr>
      <w:r>
        <w:t xml:space="preserve">Elementary lemmas and standard concentration tools support these safeguards. The methodological integration and the finite design examples are the contribution claimed here; historical priority for a new physical mechanism or for the underlying mathematics is not claimed. Unrestricted structure recovery and the persistent-count population conjectures remain unexecuted.</w:t>
      </w:r>
    </w:p>
    <w:bookmarkEnd w:id="25"/>
    <w:bookmarkEnd w:id="26"/>
    <w:bookmarkStart w:id="34" w:name="setting-and-definitions"/>
    <w:p>
      <w:pPr>
        <w:pStyle w:val="Heading1"/>
      </w:pPr>
      <w:r>
        <w:t xml:space="preserve">2. Setting and definitions</w:t>
      </w:r>
    </w:p>
    <w:bookmarkStart w:id="27" w:name="system-source-and-reference-structure"/>
    <w:p>
      <w:pPr>
        <w:pStyle w:val="Heading2"/>
      </w:pPr>
      <w:r>
        <w:t xml:space="preserve">2.1 System, source and reference structure</w:t>
      </w:r>
    </w:p>
    <w:p>
      <w:pPr>
        <w:pStyle w:val="FirstParagraph"/>
      </w:pPr>
      <w:r>
        <w:t xml:space="preserve">Let</w:t>
      </w:r>
      <w:r>
        <w:t xml:space="preserve"> </w:t>
      </w:r>
      <m:oMath>
        <m:sSub>
          <m:e>
            <m:r>
              <m:rPr>
                <m:sty m:val="p"/>
                <m:scr m:val="script"/>
              </m:rPr>
              <m:t>H</m:t>
            </m:r>
          </m:e>
          <m:sub>
            <m:r>
              <m:t>S</m:t>
            </m:r>
          </m:sub>
        </m:sSub>
        <m:r>
          <m:rPr>
            <m:sty m:val="p"/>
          </m:rPr>
          <m:t>=</m:t>
        </m:r>
        <m:sSup>
          <m:e>
            <m:r>
              <m:rPr>
                <m:sty m:val="p"/>
              </m:rPr>
              <m:t>(</m:t>
            </m:r>
            <m:sSup>
              <m:e>
                <m:r>
                  <m:rPr>
                    <m:sty m:val="p"/>
                    <m:scr m:val="double-struck"/>
                  </m:rPr>
                  <m:t>C</m:t>
                </m:r>
              </m:e>
              <m:sup>
                <m:r>
                  <m:t>2</m:t>
                </m:r>
              </m:sup>
            </m:sSup>
            <m:r>
              <m:rPr>
                <m:sty m:val="p"/>
              </m:rPr>
              <m:t>)</m:t>
            </m:r>
          </m:e>
          <m:sup>
            <m:r>
              <m:rPr>
                <m:sty m:val="p"/>
              </m:rPr>
              <m:t>⊗</m:t>
            </m:r>
            <m:r>
              <m:t>n</m:t>
            </m:r>
          </m:sup>
        </m:sSup>
      </m:oMath>
      <w:r>
        <w:t xml:space="preserve"> </w:t>
      </w:r>
      <w:r>
        <w:t xml:space="preserve">with</w:t>
      </w:r>
      <w:r>
        <w:t xml:space="preserve"> </w:t>
      </w:r>
      <m:oMath>
        <m:r>
          <m:t>d</m:t>
        </m:r>
        <m:r>
          <m:rPr>
            <m:sty m:val="p"/>
          </m:rPr>
          <m:t>=</m:t>
        </m:r>
        <m:sSup>
          <m:e>
            <m:r>
              <m:t>2</m:t>
            </m:r>
          </m:e>
          <m:sup>
            <m:r>
              <m:t>n</m:t>
            </m:r>
          </m:sup>
        </m:sSup>
      </m:oMath>
      <w:r>
        <w:t xml:space="preserve">, and let</w:t>
      </w:r>
      <w:r>
        <w:t xml:space="preserve"> </w:t>
      </w:r>
      <m:oMath>
        <m:r>
          <m:rPr>
            <m:sty m:val="p"/>
            <m:scr m:val="script"/>
          </m:rPr>
          <m:t>B</m:t>
        </m:r>
        <m:r>
          <m:rPr>
            <m:sty m:val="p"/>
          </m:rPr>
          <m:t>(</m:t>
        </m:r>
        <m:sSub>
          <m:e>
            <m:r>
              <m:rPr>
                <m:sty m:val="p"/>
                <m:scr m:val="script"/>
              </m:rPr>
              <m:t>H</m:t>
            </m:r>
          </m:e>
          <m:sub>
            <m:r>
              <m:t>S</m:t>
            </m:r>
          </m:sub>
        </m:sSub>
        <m:r>
          <m:rPr>
            <m:sty m:val="p"/>
          </m:rPr>
          <m:t>)</m:t>
        </m:r>
      </m:oMath>
      <w:r>
        <w:t xml:space="preserve"> </w:t>
      </w:r>
      <w:r>
        <w:t xml:space="preserve">carry the Hilbert-Schmidt inner product</w:t>
      </w:r>
      <w:r>
        <w:t xml:space="preserve"> </w:t>
      </w:r>
      <m:oMath>
        <m:r>
          <m:rPr>
            <m:sty m:val="p"/>
          </m:rPr>
          <m:t>⟨</m:t>
        </m:r>
        <m:r>
          <m:t>A</m:t>
        </m:r>
        <m:r>
          <m:rPr>
            <m:sty m:val="p"/>
          </m:rPr>
          <m:t>,</m:t>
        </m:r>
        <m:r>
          <m:t>B</m:t>
        </m:r>
        <m:r>
          <m:rPr>
            <m:sty m:val="p"/>
          </m:rPr>
          <m:t>⟩</m:t>
        </m:r>
        <m:r>
          <m:rPr>
            <m:sty m:val="p"/>
          </m:rPr>
          <m:t>=</m:t>
        </m:r>
        <m:r>
          <m:rPr>
            <m:sty m:val="p"/>
            <m:nor m:val="1"/>
          </m:rPr>
          <w:rPr>
            <w:i w:val="0"/>
          </w:rPr>
          <m:t>Tr</m:t>
        </m:r>
        <m:r>
          <m:rPr>
            <m:sty m:val="p"/>
          </m:rPr>
          <m:t>(</m:t>
        </m:r>
        <m:sSup>
          <m:e>
            <m:r>
              <m:t>A</m:t>
            </m:r>
          </m:e>
          <m:sup>
            <m:r>
              <m:rPr>
                <m:sty m:val="p"/>
              </m:rPr>
              <m:t>†</m:t>
            </m:r>
          </m:sup>
        </m:sSup>
        <m:r>
          <m:t>B</m:t>
        </m:r>
        <m:r>
          <m:rPr>
            <m:sty m:val="p"/>
          </m:rPr>
          <m:t>)</m:t>
        </m:r>
      </m:oMath>
      <w:r>
        <w:t xml:space="preserve"> </w:t>
      </w:r>
      <w:r>
        <w:t xml:space="preserve">and norm</w:t>
      </w:r>
      <w:r>
        <w:t xml:space="preserve"> </w:t>
      </w:r>
      <m:oMath>
        <m:r>
          <m:rPr>
            <m:sty m:val="p"/>
          </m:rPr>
          <m:t>∥</m:t>
        </m:r>
        <m:r>
          <m:t>A</m:t>
        </m:r>
        <m:sSub>
          <m:e>
            <m:r>
              <m:rPr>
                <m:sty m:val="p"/>
              </m:rPr>
              <m:t>∥</m:t>
            </m:r>
          </m:e>
          <m:sub>
            <m:r>
              <m:t>2</m:t>
            </m:r>
          </m:sub>
        </m:sSub>
      </m:oMath>
      <w:r>
        <w:t xml:space="preserve">. A classical binary source</w:t>
      </w:r>
      <w:r>
        <w:t xml:space="preserve"> </w:t>
      </w:r>
      <m:oMath>
        <m:r>
          <m:t>X</m:t>
        </m:r>
        <m:r>
          <m:rPr>
            <m:sty m:val="p"/>
          </m:rPr>
          <m:t>∈</m:t>
        </m:r>
        <m:r>
          <m:rPr>
            <m:sty m:val="p"/>
          </m:rPr>
          <m:t>{</m:t>
        </m:r>
        <m:r>
          <m:t>0</m:t>
        </m:r>
        <m:r>
          <m:rPr>
            <m:sty m:val="p"/>
          </m:rPr>
          <m:t>,</m:t>
        </m:r>
        <m:r>
          <m:t>1</m:t>
        </m:r>
        <m:r>
          <m:rPr>
            <m:sty m:val="p"/>
          </m:rPr>
          <m:t>}</m:t>
        </m:r>
      </m:oMath>
      <w:r>
        <w:t xml:space="preserve"> </w:t>
      </w:r>
      <w:r>
        <w:t xml:space="preserve">with prior</w:t>
      </w:r>
      <w:r>
        <w:t xml:space="preserve"> </w:t>
      </w:r>
      <m:oMath>
        <m:r>
          <m:rPr>
            <m:sty m:val="p"/>
          </m:rPr>
          <m:t>(</m:t>
        </m:r>
        <m:sSub>
          <m:e>
            <m:r>
              <m:t>p</m:t>
            </m:r>
          </m:e>
          <m:sub>
            <m:r>
              <m:t>0</m:t>
            </m:r>
          </m:sub>
        </m:sSub>
        <m:r>
          <m:rPr>
            <m:sty m:val="p"/>
          </m:rPr>
          <m:t>,</m:t>
        </m:r>
        <m:sSub>
          <m:e>
            <m:r>
              <m:t>p</m:t>
            </m:r>
          </m:e>
          <m:sub>
            <m:r>
              <m:t>1</m:t>
            </m:r>
          </m:sub>
        </m:sSub>
        <m:r>
          <m:rPr>
            <m:sty m:val="p"/>
          </m:rPr>
          <m:t>)</m:t>
        </m:r>
      </m:oMath>
      <w:r>
        <w:t xml:space="preserve"> </w:t>
      </w:r>
      <w:r>
        <w:t xml:space="preserve">is held in a separate register that is never rotated by a candidate. Equivalently, a source qubit prepared in a</w:t>
      </w:r>
      <w:r>
        <w:t xml:space="preserve"> </w:t>
      </w:r>
      <m:oMath>
        <m:r>
          <m:t>Z</m:t>
        </m:r>
      </m:oMath>
      <w:r>
        <w:t xml:space="preserve"> </w:t>
      </w:r>
      <w:r>
        <w:t xml:space="preserve">eigenstate couples through</w:t>
      </w:r>
      <w:r>
        <w:t xml:space="preserve"> </w:t>
      </w:r>
      <m:oMath>
        <m:sSub>
          <m:e>
            <m:r>
              <m:t>Z</m:t>
            </m:r>
          </m:e>
          <m:sub>
            <m:r>
              <m:rPr>
                <m:sty m:val="p"/>
              </m:rPr>
              <m:t>s</m:t>
            </m:r>
            <m:r>
              <m:rPr>
                <m:sty m:val="p"/>
              </m:rPr>
              <m:t>r</m:t>
            </m:r>
            <m:r>
              <m:rPr>
                <m:sty m:val="p"/>
              </m:rPr>
              <m:t>c</m:t>
            </m:r>
          </m:sub>
        </m:sSub>
        <m:r>
          <m:rPr>
            <m:sty m:val="p"/>
          </m:rPr>
          <m:t>⊗</m:t>
        </m:r>
        <m:r>
          <m:t>K</m:t>
        </m:r>
      </m:oMath>
      <w:r>
        <w:t xml:space="preserve">.</w:t>
      </w:r>
    </w:p>
    <w:p>
      <w:pPr>
        <w:pStyle w:val="BodyText"/>
      </w:pPr>
      <w:r>
        <w:t xml:space="preserve">A</w:t>
      </w:r>
      <w:r>
        <w:t xml:space="preserve"> </w:t>
      </w:r>
      <w:r>
        <w:rPr>
          <w:b/>
          <w:bCs/>
        </w:rPr>
        <w:t xml:space="preserve">reference structure</w:t>
      </w:r>
      <w:r>
        <w:t xml:space="preserve"> </w:t>
      </w:r>
      <m:oMath>
        <m:r>
          <m:rPr>
            <m:sty m:val="p"/>
            <m:scr m:val="script"/>
          </m:rPr>
          <m:t>R</m:t>
        </m:r>
        <m:r>
          <m:rPr>
            <m:sty m:val="p"/>
          </m:rPr>
          <m:t>=</m:t>
        </m:r>
        <m:r>
          <m:rPr>
            <m:sty m:val="p"/>
          </m:rPr>
          <m:t>(</m:t>
        </m:r>
        <m:r>
          <m:t>S</m:t>
        </m:r>
        <m:r>
          <m:rPr>
            <m:sty m:val="p"/>
          </m:rPr>
          <m:t>,</m:t>
        </m:r>
        <m:r>
          <m:rPr>
            <m:sty m:val="p"/>
          </m:rPr>
          <m:t>{</m:t>
        </m:r>
        <m:sSub>
          <m:e>
            <m:r>
              <m:rPr>
                <m:sty m:val="p"/>
                <m:scr m:val="script"/>
              </m:rPr>
              <m:t>A</m:t>
            </m:r>
          </m:e>
          <m:sub>
            <m:r>
              <m:t>F</m:t>
            </m:r>
          </m:sub>
        </m:sSub>
        <m:sSub>
          <m:e>
            <m:r>
              <m:rPr>
                <m:sty m:val="p"/>
              </m:rPr>
              <m:t>}</m:t>
            </m:r>
          </m:e>
          <m:sub>
            <m:r>
              <m:t>F</m:t>
            </m:r>
          </m:sub>
        </m:sSub>
        <m:r>
          <m:rPr>
            <m:sty m:val="p"/>
          </m:rPr>
          <m:t>,</m:t>
        </m:r>
        <m:r>
          <m:rPr>
            <m:sty m:val="p"/>
            <m:scr m:val="script"/>
          </m:rPr>
          <m:t>Q</m:t>
        </m:r>
        <m:r>
          <m:rPr>
            <m:sty m:val="p"/>
          </m:rPr>
          <m:t>)</m:t>
        </m:r>
      </m:oMath>
      <w:r>
        <w:t xml:space="preserve"> </w:t>
      </w:r>
      <w:r>
        <w:t xml:space="preserve">comprises a declared local operator span</w:t>
      </w:r>
      <w:r>
        <w:t xml:space="preserve"> </w:t>
      </w:r>
      <m:oMath>
        <m:r>
          <m:t>S</m:t>
        </m:r>
      </m:oMath>
      <w:r>
        <w:t xml:space="preserve">, eligible fragment algebras</w:t>
      </w:r>
      <w:r>
        <w:t xml:space="preserve"> </w:t>
      </w:r>
      <m:oMath>
        <m:sSub>
          <m:e>
            <m:r>
              <m:rPr>
                <m:sty m:val="p"/>
                <m:scr m:val="script"/>
              </m:rPr>
              <m:t>A</m:t>
            </m:r>
          </m:e>
          <m:sub>
            <m:r>
              <m:t>F</m:t>
            </m:r>
          </m:sub>
        </m:sSub>
        <m:r>
          <m:rPr>
            <m:sty m:val="p"/>
          </m:rPr>
          <m:t>=</m:t>
        </m:r>
        <m:r>
          <m:rPr>
            <m:sty m:val="p"/>
            <m:scr m:val="script"/>
          </m:rPr>
          <m:t>B</m:t>
        </m:r>
        <m:r>
          <m:rPr>
            <m:sty m:val="p"/>
          </m:rPr>
          <m:t>(</m:t>
        </m:r>
        <m:sSub>
          <m:e>
            <m:r>
              <m:rPr>
                <m:sty m:val="p"/>
                <m:scr m:val="script"/>
              </m:rPr>
              <m:t>H</m:t>
            </m:r>
          </m:e>
          <m:sub>
            <m:r>
              <m:t>F</m:t>
            </m:r>
          </m:sub>
        </m:sSub>
        <m:r>
          <m:rPr>
            <m:sty m:val="p"/>
          </m:rPr>
          <m:t>)</m:t>
        </m:r>
        <m:r>
          <m:rPr>
            <m:sty m:val="p"/>
          </m:rPr>
          <m:t>⊗</m:t>
        </m:r>
        <m:sSub>
          <m:e>
            <m:r>
              <m:t>I</m:t>
            </m:r>
          </m:e>
          <m:sub>
            <m:acc>
              <m:accPr>
                <m:chr m:val="‾"/>
              </m:accPr>
              <m:e>
                <m:r>
                  <m:t>F</m:t>
                </m:r>
              </m:e>
            </m:acc>
          </m:sub>
        </m:sSub>
      </m:oMath>
      <w:r>
        <w:t xml:space="preserve">, and an operational contract</w:t>
      </w:r>
      <w:r>
        <w:t xml:space="preserve"> </w:t>
      </w:r>
      <m:oMath>
        <m:r>
          <m:rPr>
            <m:sty m:val="p"/>
            <m:scr m:val="script"/>
          </m:rPr>
          <m:t>Q</m:t>
        </m:r>
      </m:oMath>
      <w:r>
        <w:t xml:space="preserve">. The contract records fragment-size limits, disjointness, source exclusion, allowed measurements, access costs, and any graph or site labels. The symbol</w:t>
      </w:r>
      <w:r>
        <w:t xml:space="preserve"> </w:t>
      </w:r>
      <m:oMath>
        <m:r>
          <m:rPr>
            <m:sty m:val="p"/>
            <m:scr m:val="script"/>
          </m:rPr>
          <m:t>B</m:t>
        </m:r>
        <m:r>
          <m:rPr>
            <m:sty m:val="p"/>
          </m:rPr>
          <m:t>(</m:t>
        </m:r>
        <m:sSub>
          <m:e>
            <m:r>
              <m:rPr>
                <m:sty m:val="p"/>
                <m:scr m:val="script"/>
              </m:rPr>
              <m:t>H</m:t>
            </m:r>
          </m:e>
          <m:sub>
            <m:r>
              <m:t>F</m:t>
            </m:r>
          </m:sub>
        </m:sSub>
        <m:r>
          <m:rPr>
            <m:sty m:val="p"/>
          </m:rPr>
          <m:t>)</m:t>
        </m:r>
      </m:oMath>
      <w:r>
        <w:t xml:space="preserve"> </w:t>
      </w:r>
      <w:r>
        <w:t xml:space="preserve">denotes the full matrix algebra; the standalone contract</w:t>
      </w:r>
      <w:r>
        <w:t xml:space="preserve"> </w:t>
      </w:r>
      <m:oMath>
        <m:r>
          <m:rPr>
            <m:sty m:val="p"/>
            <m:scr m:val="script"/>
          </m:rPr>
          <m:t>Q</m:t>
        </m:r>
      </m:oMath>
      <w:r>
        <w:t xml:space="preserve"> </w:t>
      </w:r>
      <w:r>
        <w:t xml:space="preserve">is metadata, not another algebra. All projections onto operator spans are Hilbert-Schmidt orthogonal.</w:t>
      </w:r>
    </w:p>
    <w:p>
      <w:pPr>
        <w:pStyle w:val="BodyText"/>
      </w:pPr>
      <w:r>
        <w:t xml:space="preserve">A candidate represented by a unitary</w:t>
      </w:r>
      <w:r>
        <w:t xml:space="preserve"> </w:t>
      </w:r>
      <m:oMath>
        <m:sSub>
          <m:e>
            <m:r>
              <m:t>V</m:t>
            </m:r>
          </m:e>
          <m:sub>
            <m:r>
              <m:t>D</m:t>
            </m:r>
          </m:sub>
        </m:sSub>
      </m:oMath>
      <w:r>
        <w:t xml:space="preserve"> </w:t>
      </w:r>
      <w:r>
        <w:t xml:space="preserve">rotates both the local span and the fragment algebras, with the contract transported consistently. The full stabilizer is</w:t>
      </w:r>
    </w:p>
    <w:p>
      <w:pPr>
        <w:pStyle w:val="BodyText"/>
      </w:pPr>
      <m:oMathPara>
        <m:oMathParaPr>
          <m:jc m:val="center"/>
        </m:oMathParaPr>
        <m:oMath>
          <m:r>
            <m:rPr>
              <m:sty m:val="p"/>
              <m:nor m:val="1"/>
            </m:rPr>
            <w:rPr>
              <w:i w:val="0"/>
            </w:rPr>
            <m:t>Stab</m:t>
          </m:r>
          <m:r>
            <m:rPr>
              <m:sty m:val="p"/>
            </m:rPr>
            <m:t>(</m:t>
          </m:r>
          <m:r>
            <m:rPr>
              <m:sty m:val="p"/>
              <m:scr m:val="script"/>
            </m:rPr>
            <m:t>R</m:t>
          </m:r>
          <m:r>
            <m:rPr>
              <m:sty m:val="p"/>
            </m:rPr>
            <m:t>)</m:t>
          </m:r>
          <m:r>
            <m:rPr>
              <m:sty m:val="p"/>
            </m:rPr>
            <m:t>=</m:t>
          </m:r>
          <m:r>
            <m:rPr>
              <m:sty m:val="p"/>
            </m:rPr>
            <m:t>{</m:t>
          </m:r>
          <m:r>
            <m:t>W</m:t>
          </m:r>
          <m:r>
            <m:rPr>
              <m:sty m:val="p"/>
            </m:rPr>
            <m:t>∈</m:t>
          </m:r>
          <m:r>
            <m:t>U</m:t>
          </m:r>
          <m:r>
            <m:rPr>
              <m:sty m:val="p"/>
            </m:rPr>
            <m:t>(</m:t>
          </m:r>
          <m:r>
            <m:t>d</m:t>
          </m:r>
          <m:r>
            <m:rPr>
              <m:sty m:val="p"/>
            </m:rPr>
            <m:t>)</m:t>
          </m:r>
          <m:r>
            <m:rPr>
              <m:sty m:val="p"/>
            </m:rPr>
            <m:t>:</m:t>
          </m:r>
          <m:sSub>
            <m:e>
              <m:r>
                <m:rPr>
                  <m:sty m:val="p"/>
                  <m:nor m:val="1"/>
                </m:rPr>
                <w:rPr>
                  <w:i w:val="0"/>
                </w:rPr>
                <m:t>Ad</m:t>
              </m:r>
            </m:e>
            <m:sub>
              <m:r>
                <m:t>W</m:t>
              </m:r>
            </m:sub>
          </m:sSub>
          <m:r>
            <m:rPr>
              <m:sty m:val="p"/>
            </m:rPr>
            <m:t>(</m:t>
          </m:r>
          <m:r>
            <m:rPr>
              <m:sty m:val="p"/>
              <m:scr m:val="script"/>
            </m:rPr>
            <m:t>R</m:t>
          </m:r>
          <m:r>
            <m:rPr>
              <m:sty m:val="p"/>
            </m:rPr>
            <m:t>)</m:t>
          </m:r>
          <m:r>
            <m:rPr>
              <m:sty m:val="p"/>
            </m:rPr>
            <m:t>=</m:t>
          </m:r>
          <m:r>
            <m:rPr>
              <m:sty m:val="p"/>
              <m:scr m:val="script"/>
            </m:rPr>
            <m:t>R</m:t>
          </m:r>
          <m:r>
            <m:rPr>
              <m:sty m:val="p"/>
            </m:rPr>
            <m:t>}</m:t>
          </m:r>
          <m:r>
            <m:rPr>
              <m:sty m:val="p"/>
            </m:rPr>
            <m:t>.</m:t>
          </m:r>
        </m:oMath>
      </m:oMathPara>
    </w:p>
    <w:p>
      <w:pPr>
        <w:pStyle w:val="FirstParagraph"/>
      </w:pPr>
      <w:r>
        <w:t xml:space="preserve">Here equality means preservation of the local span, permutation of the eligible fragment algebras, and preservation of every applicable element of the operational contract.</w:t>
      </w:r>
      <w:r>
        <w:t xml:space="preserve"> </w:t>
      </w:r>
      <w:r>
        <w:t xml:space="preserve">Thus</w:t>
      </w:r>
      <w:r>
        <w:t xml:space="preserve"> </w:t>
      </w:r>
      <m:oMath>
        <m:r>
          <m:t>V</m:t>
        </m:r>
      </m:oMath>
      <w:r>
        <w:t xml:space="preserve"> </w:t>
      </w:r>
      <w:r>
        <w:t xml:space="preserve">and</w:t>
      </w:r>
      <w:r>
        <w:t xml:space="preserve"> </w:t>
      </w:r>
      <m:oMath>
        <m:r>
          <m:t>V</m:t>
        </m:r>
        <m:r>
          <m:t>W</m:t>
        </m:r>
      </m:oMath>
      <w:r>
        <w:t xml:space="preserve">, with</w:t>
      </w:r>
      <w:r>
        <w:t xml:space="preserve"> </w:t>
      </w:r>
      <m:oMath>
        <m:r>
          <m:t>W</m:t>
        </m:r>
        <m:r>
          <m:rPr>
            <m:sty m:val="p"/>
          </m:rPr>
          <m:t>∈</m:t>
        </m:r>
        <m:r>
          <m:rPr>
            <m:sty m:val="p"/>
            <m:nor m:val="1"/>
          </m:rPr>
          <w:rPr>
            <w:i w:val="0"/>
          </w:rPr>
          <m:t>Stab</m:t>
        </m:r>
        <m:r>
          <m:rPr>
            <m:sty m:val="p"/>
          </m:rPr>
          <m:t>(</m:t>
        </m:r>
        <m:r>
          <m:rPr>
            <m:sty m:val="p"/>
            <m:scr m:val="script"/>
          </m:rPr>
          <m:t>R</m:t>
        </m:r>
        <m:r>
          <m:rPr>
            <m:sty m:val="p"/>
          </m:rPr>
          <m:t>)</m:t>
        </m:r>
      </m:oMath>
      <w:r>
        <w:t xml:space="preserve">, define equivalent candidates. Equality of a locality span alone does not suffice. Source registers remain external and are not accessible fragments.</w:t>
      </w:r>
    </w:p>
    <w:p>
      <w:pPr>
        <w:pStyle w:val="BodyText"/>
      </w:pPr>
      <w:r>
        <w:t xml:space="preserve">For</w:t>
      </w:r>
      <w:r>
        <w:t xml:space="preserve"> </w:t>
      </w:r>
      <m:oMath>
        <m:r>
          <m:t>n</m:t>
        </m:r>
      </m:oMath>
      <w:r>
        <w:t xml:space="preserve"> </w:t>
      </w:r>
      <w:r>
        <w:t xml:space="preserve">equal-dimensional sites (site dimension</w:t>
      </w:r>
      <w:r>
        <w:t xml:space="preserve"> </w:t>
      </w:r>
      <m:oMath>
        <m:sSub>
          <m:e>
            <m:r>
              <m:t>q</m:t>
            </m:r>
          </m:e>
          <m:sub>
            <m:r>
              <m:rPr>
                <m:sty m:val="p"/>
              </m:rPr>
              <m:t>s</m:t>
            </m:r>
            <m:r>
              <m:rPr>
                <m:sty m:val="p"/>
              </m:rPr>
              <m:t>i</m:t>
            </m:r>
            <m:r>
              <m:rPr>
                <m:sty m:val="p"/>
              </m:rPr>
              <m:t>t</m:t>
            </m:r>
            <m:r>
              <m:rPr>
                <m:sty m:val="p"/>
              </m:rPr>
              <m:t>e</m:t>
            </m:r>
          </m:sub>
        </m:sSub>
        <m:r>
          <m:rPr>
            <m:sty m:val="p"/>
          </m:rPr>
          <m:t>=</m:t>
        </m:r>
        <m:r>
          <m:t>2</m:t>
        </m:r>
      </m:oMath>
      <w:r>
        <w:t xml:space="preserve"> </w:t>
      </w:r>
      <w:r>
        <w:t xml:space="preserve">in the qubit models) with every singleton algebra, unrestricted singleton measurements, symmetric costs, unlabelled sites and an unrestricted weight-</w:t>
      </w:r>
      <m:oMath>
        <m:r>
          <m:t>k</m:t>
        </m:r>
      </m:oMath>
      <w:r>
        <w:t xml:space="preserve"> </w:t>
      </w:r>
      <w:r>
        <w:t xml:space="preserve">span, the stabilizer is exactly the set</w:t>
      </w:r>
    </w:p>
    <w:p>
      <w:pPr>
        <w:pStyle w:val="BodyText"/>
      </w:pPr>
      <m:oMathPara>
        <m:oMathParaPr>
          <m:jc m:val="center"/>
        </m:oMathParaPr>
        <m:oMath>
          <m:r>
            <m:rPr>
              <m:sty m:val="p"/>
            </m:rPr>
            <m:t>{</m:t>
          </m:r>
          <m:sSub>
            <m:e>
              <m:r>
                <m:t>Π</m:t>
              </m:r>
            </m:e>
            <m:sub>
              <m:r>
                <m:t>π</m:t>
              </m:r>
            </m:sub>
          </m:sSub>
          <m:r>
            <m:rPr>
              <m:sty m:val="p"/>
            </m:rPr>
            <m:t>(</m:t>
          </m:r>
          <m:sSub>
            <m:e>
              <m:r>
                <m:t>U</m:t>
              </m:r>
            </m:e>
            <m:sub>
              <m:r>
                <m:t>1</m:t>
              </m:r>
            </m:sub>
          </m:sSub>
          <m:r>
            <m:rPr>
              <m:sty m:val="p"/>
            </m:rPr>
            <m:t>⊗</m:t>
          </m:r>
          <m:r>
            <m:rPr>
              <m:sty m:val="p"/>
            </m:rPr>
            <m:t>⋯</m:t>
          </m:r>
          <m:r>
            <m:rPr>
              <m:sty m:val="p"/>
            </m:rPr>
            <m:t>⊗</m:t>
          </m:r>
          <m:sSub>
            <m:e>
              <m:r>
                <m:t>U</m:t>
              </m:r>
            </m:e>
            <m:sub>
              <m:r>
                <m:t>n</m:t>
              </m:r>
            </m:sub>
          </m:sSub>
          <m:r>
            <m:rPr>
              <m:sty m:val="p"/>
            </m:rPr>
            <m:t>)</m:t>
          </m:r>
          <m:r>
            <m:rPr>
              <m:sty m:val="p"/>
            </m:rPr>
            <m:t>:</m:t>
          </m:r>
          <m:r>
            <m:t>π</m:t>
          </m:r>
          <m:r>
            <m:rPr>
              <m:sty m:val="p"/>
            </m:rPr>
            <m:t>∈</m:t>
          </m:r>
          <m:sSub>
            <m:e>
              <m:r>
                <m:t>S</m:t>
              </m:r>
            </m:e>
            <m:sub>
              <m:r>
                <m:t>n</m:t>
              </m:r>
            </m:sub>
          </m:sSub>
          <m:r>
            <m:rPr>
              <m:sty m:val="p"/>
            </m:rPr>
            <m:t>,</m:t>
          </m:r>
          <m:r>
            <m:t> </m:t>
          </m:r>
          <m:sSub>
            <m:e>
              <m:r>
                <m:t>U</m:t>
              </m:r>
            </m:e>
            <m:sub>
              <m:r>
                <m:t>j</m:t>
              </m:r>
            </m:sub>
          </m:sSub>
          <m:r>
            <m:rPr>
              <m:sty m:val="p"/>
            </m:rPr>
            <m:t>∈</m:t>
          </m:r>
          <m:r>
            <m:t>U</m:t>
          </m:r>
          <m:r>
            <m:rPr>
              <m:sty m:val="p"/>
            </m:rPr>
            <m:t>(</m:t>
          </m:r>
          <m:sSub>
            <m:e>
              <m:r>
                <m:t>q</m:t>
              </m:r>
            </m:e>
            <m:sub>
              <m:r>
                <m:rPr>
                  <m:sty m:val="p"/>
                </m:rPr>
                <m:t>s</m:t>
              </m:r>
              <m:r>
                <m:rPr>
                  <m:sty m:val="p"/>
                </m:rPr>
                <m:t>i</m:t>
              </m:r>
              <m:r>
                <m:rPr>
                  <m:sty m:val="p"/>
                </m:rPr>
                <m:t>t</m:t>
              </m:r>
              <m:r>
                <m:rPr>
                  <m:sty m:val="p"/>
                </m:rPr>
                <m:t>e</m:t>
              </m:r>
            </m:sub>
          </m:sSub>
          <m:r>
            <m:rPr>
              <m:sty m:val="p"/>
            </m:rPr>
            <m:t>)</m:t>
          </m:r>
          <m:r>
            <m:rPr>
              <m:sty m:val="p"/>
            </m:rPr>
            <m:t>}</m:t>
          </m:r>
          <m:r>
            <m:rPr>
              <m:sty m:val="p"/>
            </m:rPr>
            <m:t>.</m:t>
          </m:r>
        </m:oMath>
      </m:oMathPara>
    </w:p>
    <w:p>
      <w:pPr>
        <w:pStyle w:val="FirstParagraph"/>
      </w:pPr>
      <w:r>
        <w:t xml:space="preserve">This set notation avoids treating the product of local unitary groups as an injective subgroup: compensating local phases have a kernel. Graph or operational constraints restrict the allowed elements further. In the unlabelled case these are the usual TPS equivalences; a labelled or cost-restricted access structure has a finer equivalence relation [Andreadakis and Zanardi 2025, Eq. 14 and Appendix A.4].</w:t>
      </w:r>
    </w:p>
    <w:bookmarkEnd w:id="27"/>
    <w:bookmarkStart w:id="28" w:name="convention-for-evaluating-candidates"/>
    <w:p>
      <w:pPr>
        <w:pStyle w:val="Heading2"/>
      </w:pPr>
      <w:r>
        <w:t xml:space="preserve">2.2 Convention for evaluating candidates</w:t>
      </w:r>
    </w:p>
    <w:p>
      <w:pPr>
        <w:pStyle w:val="FirstParagraph"/>
      </w:pPr>
      <w:r>
        <w:t xml:space="preserve">For any operator</w:t>
      </w:r>
      <w:r>
        <w:t xml:space="preserve"> </w:t>
      </w:r>
      <m:oMath>
        <m:r>
          <m:t>A</m:t>
        </m:r>
      </m:oMath>
      <w:r>
        <w:t xml:space="preserve"> </w:t>
      </w:r>
      <w:r>
        <w:t xml:space="preserve">and unitary</w:t>
      </w:r>
      <w:r>
        <w:t xml:space="preserve"> </w:t>
      </w:r>
      <m:oMath>
        <m:r>
          <m:t>V</m:t>
        </m:r>
      </m:oMath>
      <w:r>
        <w:t xml:space="preserve">,</w:t>
      </w:r>
    </w:p>
    <w:p>
      <w:pPr>
        <w:pStyle w:val="BodyText"/>
      </w:pPr>
      <m:oMathPara>
        <m:oMathParaPr>
          <m:jc m:val="center"/>
        </m:oMathParaPr>
        <m:oMath>
          <m:sSub>
            <m:e>
              <m:r>
                <m:t>Π</m:t>
              </m:r>
            </m:e>
            <m:sub>
              <m:r>
                <m:t>V</m:t>
              </m:r>
              <m:r>
                <m:t>S</m:t>
              </m:r>
              <m:sSup>
                <m:e>
                  <m:r>
                    <m:t>V</m:t>
                  </m:r>
                </m:e>
                <m:sup>
                  <m:r>
                    <m:rPr>
                      <m:sty m:val="p"/>
                    </m:rPr>
                    <m:t>†</m:t>
                  </m:r>
                </m:sup>
              </m:sSup>
            </m:sub>
          </m:sSub>
          <m:r>
            <m:rPr>
              <m:sty m:val="p"/>
            </m:rPr>
            <m:t>(</m:t>
          </m:r>
          <m:r>
            <m:t>A</m:t>
          </m:r>
          <m:r>
            <m:rPr>
              <m:sty m:val="p"/>
            </m:rPr>
            <m:t>)</m:t>
          </m:r>
          <m:r>
            <m:rPr>
              <m:sty m:val="p"/>
            </m:rPr>
            <m:t>=</m:t>
          </m:r>
          <m:r>
            <m:t>V</m:t>
          </m:r>
          <m:r>
            <m:t> </m:t>
          </m:r>
          <m:sSub>
            <m:e>
              <m:r>
                <m:t>Π</m:t>
              </m:r>
            </m:e>
            <m:sub>
              <m:r>
                <m:t>S</m:t>
              </m:r>
            </m:sub>
          </m:sSub>
          <m:r>
            <m:rPr>
              <m:sty m:val="p"/>
            </m:rPr>
            <m:t>(</m:t>
          </m:r>
          <m:sSup>
            <m:e>
              <m:r>
                <m:t>V</m:t>
              </m:r>
            </m:e>
            <m:sup>
              <m:r>
                <m:rPr>
                  <m:sty m:val="p"/>
                </m:rPr>
                <m:t>†</m:t>
              </m:r>
            </m:sup>
          </m:sSup>
          <m:r>
            <m:t>A</m:t>
          </m:r>
          <m:r>
            <m:t>V</m:t>
          </m:r>
          <m:r>
            <m:rPr>
              <m:sty m:val="p"/>
            </m:rPr>
            <m:t>)</m:t>
          </m:r>
          <m:r>
            <m:t> </m:t>
          </m:r>
          <m:sSup>
            <m:e>
              <m:r>
                <m:t>V</m:t>
              </m:r>
            </m:e>
            <m:sup>
              <m:r>
                <m:rPr>
                  <m:sty m:val="p"/>
                </m:rPr>
                <m:t>†</m:t>
              </m:r>
            </m:sup>
          </m:sSup>
          <m:r>
            <m:rPr>
              <m:sty m:val="p"/>
            </m:rPr>
            <m:t>,</m:t>
          </m:r>
          <m:r>
            <m:t>  </m:t>
          </m:r>
          <m:r>
            <m:rPr>
              <m:sty m:val="p"/>
            </m:rPr>
            <m:t>(</m:t>
          </m:r>
          <m:r>
            <m:t>1</m:t>
          </m:r>
          <m:r>
            <m:rPr>
              <m:sty m:val="p"/>
            </m:rPr>
            <m:t>)</m:t>
          </m:r>
        </m:oMath>
      </m:oMathPara>
    </w:p>
    <w:p>
      <w:pPr>
        <w:pStyle w:val="FirstParagraph"/>
      </w:pPr>
      <w:r>
        <w:t xml:space="preserve">because</w:t>
      </w:r>
      <w:r>
        <w:t xml:space="preserve"> </w:t>
      </w:r>
      <m:oMath>
        <m:r>
          <m:t>A</m:t>
        </m:r>
        <m:r>
          <m:rPr>
            <m:sty m:val="p"/>
          </m:rPr>
          <m:t>↦</m:t>
        </m:r>
        <m:r>
          <m:t>V</m:t>
        </m:r>
        <m:r>
          <m:t>A</m:t>
        </m:r>
        <m:sSup>
          <m:e>
            <m:r>
              <m:t>V</m:t>
            </m:r>
          </m:e>
          <m:sup>
            <m:r>
              <m:rPr>
                <m:sty m:val="p"/>
              </m:rPr>
              <m:t>†</m:t>
            </m:r>
          </m:sup>
        </m:sSup>
      </m:oMath>
      <w:r>
        <w:t xml:space="preserve"> </w:t>
      </w:r>
      <w:r>
        <w:t xml:space="preserve">is a Hilbert-Schmidt unitary that maps</w:t>
      </w:r>
      <w:r>
        <w:t xml:space="preserve"> </w:t>
      </w:r>
      <m:oMath>
        <m:r>
          <m:t>S</m:t>
        </m:r>
      </m:oMath>
      <w:r>
        <w:t xml:space="preserve"> </w:t>
      </w:r>
      <w:r>
        <w:t xml:space="preserve">onto</w:t>
      </w:r>
      <w:r>
        <w:t xml:space="preserve"> </w:t>
      </w:r>
      <m:oMath>
        <m:r>
          <m:t>V</m:t>
        </m:r>
        <m:r>
          <m:t>S</m:t>
        </m:r>
        <m:sSup>
          <m:e>
            <m:r>
              <m:t>V</m:t>
            </m:r>
          </m:e>
          <m:sup>
            <m:r>
              <m:rPr>
                <m:sty m:val="p"/>
              </m:rPr>
              <m:t>†</m:t>
            </m:r>
          </m:sup>
        </m:sSup>
      </m:oMath>
      <w:r>
        <w:t xml:space="preserve"> </w:t>
      </w:r>
      <w:r>
        <w:t xml:space="preserve">and</w:t>
      </w:r>
      <w:r>
        <w:t xml:space="preserve"> </w:t>
      </w:r>
      <m:oMath>
        <m:sSup>
          <m:e>
            <m:r>
              <m:t>S</m:t>
            </m:r>
          </m:e>
          <m:sup>
            <m:r>
              <m:rPr>
                <m:sty m:val="p"/>
              </m:rPr>
              <m:t>⊥</m:t>
            </m:r>
          </m:sup>
        </m:sSup>
      </m:oMath>
      <w:r>
        <w:t xml:space="preserve"> </w:t>
      </w:r>
      <w:r>
        <w:t xml:space="preserve">onto</w:t>
      </w:r>
      <w:r>
        <w:t xml:space="preserve"> </w:t>
      </w:r>
      <m:oMath>
        <m:sSup>
          <m:e>
            <m:r>
              <m:rPr>
                <m:sty m:val="p"/>
              </m:rPr>
              <m:t>(</m:t>
            </m:r>
            <m:r>
              <m:t>V</m:t>
            </m:r>
            <m:r>
              <m:t>S</m:t>
            </m:r>
            <m:sSup>
              <m:e>
                <m:r>
                  <m:t>V</m:t>
                </m:r>
              </m:e>
              <m:sup>
                <m:r>
                  <m:rPr>
                    <m:sty m:val="p"/>
                  </m:rPr>
                  <m:t>†</m:t>
                </m:r>
              </m:sup>
            </m:sSup>
            <m:r>
              <m:rPr>
                <m:sty m:val="p"/>
              </m:rPr>
              <m:t>)</m:t>
            </m:r>
          </m:e>
          <m:sup>
            <m:r>
              <m:rPr>
                <m:sty m:val="p"/>
              </m:rPr>
              <m:t>⊥</m:t>
            </m:r>
          </m:sup>
        </m:sSup>
      </m:oMath>
      <w:r>
        <w:t xml:space="preserve">. Consequently, scoring the physical operator</w:t>
      </w:r>
      <w:r>
        <w:t xml:space="preserve"> </w:t>
      </w:r>
      <m:oMath>
        <m:r>
          <m:t>A</m:t>
        </m:r>
      </m:oMath>
      <w:r>
        <w:t xml:space="preserve"> </w:t>
      </w:r>
      <w:r>
        <w:t xml:space="preserve">against the rotated structure</w:t>
      </w:r>
      <w:r>
        <w:t xml:space="preserve"> </w:t>
      </w:r>
      <m:oMath>
        <m:sSub>
          <m:e>
            <m:r>
              <m:rPr>
                <m:sty m:val="p"/>
                <m:scr m:val="script"/>
              </m:rPr>
              <m:t>R</m:t>
            </m:r>
          </m:e>
          <m:sub>
            <m:r>
              <m:t>D</m:t>
            </m:r>
          </m:sub>
        </m:sSub>
      </m:oMath>
      <w:r>
        <w:t xml:space="preserve"> </w:t>
      </w:r>
      <w:r>
        <w:t xml:space="preserve">is the same as scoring</w:t>
      </w:r>
      <w:r>
        <w:t xml:space="preserve"> </w:t>
      </w:r>
      <m:oMath>
        <m:sSub>
          <m:e>
            <m:r>
              <m:t>A</m:t>
            </m:r>
          </m:e>
          <m:sub>
            <m:r>
              <m:t>D</m:t>
            </m:r>
          </m:sub>
        </m:sSub>
        <m:box>
          <m:boxPr>
            <m:opEmu m:val="on"/>
          </m:boxPr>
          <m:e>
            <m:r>
              <m:rPr>
                <m:sty m:val="p"/>
              </m:rPr>
              <m:t>:=</m:t>
            </m:r>
          </m:e>
        </m:box>
        <m:sSubSup>
          <m:e>
            <m:r>
              <m:t>V</m:t>
            </m:r>
          </m:e>
          <m:sub>
            <m:r>
              <m:t>D</m:t>
            </m:r>
          </m:sub>
          <m:sup>
            <m:r>
              <m:rPr>
                <m:sty m:val="p"/>
              </m:rPr>
              <m:t>†</m:t>
            </m:r>
          </m:sup>
        </m:sSubSup>
        <m:r>
          <m:t>A</m:t>
        </m:r>
        <m:sSub>
          <m:e>
            <m:r>
              <m:t>V</m:t>
            </m:r>
          </m:e>
          <m:sub>
            <m:r>
              <m:t>D</m:t>
            </m:r>
          </m:sub>
        </m:sSub>
      </m:oMath>
      <w:r>
        <w:t xml:space="preserve"> </w:t>
      </w:r>
      <w:r>
        <w:t xml:space="preserve">against the fixed reference structure. We use the second form throughout:</w:t>
      </w:r>
    </w:p>
    <w:p>
      <w:pPr>
        <w:pStyle w:val="BodyText"/>
      </w:pPr>
      <m:oMathPara>
        <m:oMathParaPr>
          <m:jc m:val="center"/>
        </m:oMathParaPr>
        <m:oMath>
          <m:sSub>
            <m:e>
              <m:r>
                <m:t>H</m:t>
              </m:r>
            </m:e>
            <m:sub>
              <m:r>
                <m:t>D</m:t>
              </m:r>
            </m:sub>
          </m:sSub>
          <m:box>
            <m:boxPr>
              <m:opEmu m:val="on"/>
            </m:boxPr>
            <m:e>
              <m:r>
                <m:rPr>
                  <m:sty m:val="p"/>
                </m:rPr>
                <m:t>:=</m:t>
              </m:r>
            </m:e>
          </m:box>
          <m:sSubSup>
            <m:e>
              <m:r>
                <m:t>V</m:t>
              </m:r>
            </m:e>
            <m:sub>
              <m:r>
                <m:t>D</m:t>
              </m:r>
            </m:sub>
            <m:sup>
              <m:r>
                <m:rPr>
                  <m:sty m:val="p"/>
                </m:rPr>
                <m:t>†</m:t>
              </m:r>
            </m:sup>
          </m:sSubSup>
          <m:r>
            <m:t>H</m:t>
          </m:r>
          <m:sSub>
            <m:e>
              <m:r>
                <m:t>V</m:t>
              </m:r>
            </m:e>
            <m:sub>
              <m:r>
                <m:t>D</m:t>
              </m:r>
            </m:sub>
          </m:sSub>
          <m:r>
            <m:rPr>
              <m:sty m:val="p"/>
            </m:rPr>
            <m:t>,</m:t>
          </m:r>
          <m:r>
            <m:t>  </m:t>
          </m:r>
          <m:sSub>
            <m:e>
              <m:r>
                <m:t>ρ</m:t>
              </m:r>
            </m:e>
            <m:sub>
              <m:r>
                <m:t>D</m:t>
              </m:r>
            </m:sub>
          </m:sSub>
          <m:r>
            <m:rPr>
              <m:sty m:val="p"/>
            </m:rPr>
            <m:t>(</m:t>
          </m:r>
          <m:r>
            <m:t>t</m:t>
          </m:r>
          <m:r>
            <m:rPr>
              <m:sty m:val="p"/>
            </m:rPr>
            <m:t>)</m:t>
          </m:r>
          <m:box>
            <m:boxPr>
              <m:opEmu m:val="on"/>
            </m:boxPr>
            <m:e>
              <m:r>
                <m:rPr>
                  <m:sty m:val="p"/>
                </m:rPr>
                <m:t>:=</m:t>
              </m:r>
            </m:e>
          </m:box>
          <m:sSubSup>
            <m:e>
              <m:r>
                <m:t>V</m:t>
              </m:r>
            </m:e>
            <m:sub>
              <m:r>
                <m:t>D</m:t>
              </m:r>
            </m:sub>
            <m:sup>
              <m:r>
                <m:rPr>
                  <m:sty m:val="p"/>
                </m:rPr>
                <m:t>†</m:t>
              </m:r>
            </m:sup>
          </m:sSubSup>
          <m:r>
            <m:t>ρ</m:t>
          </m:r>
          <m:r>
            <m:rPr>
              <m:sty m:val="p"/>
            </m:rPr>
            <m:t>(</m:t>
          </m:r>
          <m:r>
            <m:t>t</m:t>
          </m:r>
          <m:r>
            <m:rPr>
              <m:sty m:val="p"/>
            </m:rPr>
            <m:t>)</m:t>
          </m:r>
          <m:sSub>
            <m:e>
              <m:r>
                <m:t>V</m:t>
              </m:r>
            </m:e>
            <m:sub>
              <m:r>
                <m:t>D</m:t>
              </m:r>
            </m:sub>
          </m:sSub>
          <m:r>
            <m:rPr>
              <m:sty m:val="p"/>
            </m:rPr>
            <m:t>.</m:t>
          </m:r>
        </m:oMath>
      </m:oMathPara>
    </w:p>
    <w:p>
      <w:pPr>
        <w:pStyle w:val="FirstParagraph"/>
      </w:pPr>
      <w:r>
        <w:t xml:space="preserve">Every candidate is evaluated on the same physical history. Jointly conjugating the Hamiltonian, the state, the observables and the reference structure by one unitary leaves every score unchanged; it is a recovery check, not a candidate. Changing only the state, or only the Hamiltonian, defines a different physical experiment.</w:t>
      </w:r>
    </w:p>
    <w:bookmarkEnd w:id="28"/>
    <w:bookmarkStart w:id="29" w:name="dynamics"/>
    <w:p>
      <w:pPr>
        <w:pStyle w:val="Heading2"/>
      </w:pPr>
      <w:r>
        <w:t xml:space="preserve">2.3 Dynamics</w:t>
      </w:r>
    </w:p>
    <w:p>
      <w:pPr>
        <w:pStyle w:val="FirstParagraph"/>
      </w:pPr>
      <w:r>
        <w:t xml:space="preserve">The record-generating dynamics is a source-conditioned family of autonomous Hamiltonians</w:t>
      </w:r>
    </w:p>
    <w:p>
      <w:pPr>
        <w:pStyle w:val="BodyText"/>
      </w:pPr>
      <m:oMathPara>
        <m:oMathParaPr>
          <m:jc m:val="center"/>
        </m:oMathParaPr>
        <m:oMath>
          <m:sSub>
            <m:e>
              <m:r>
                <m:t>H</m:t>
              </m:r>
            </m:e>
            <m:sub>
              <m:r>
                <m:t>x</m:t>
              </m:r>
            </m:sub>
          </m:sSub>
          <m:r>
            <m:rPr>
              <m:sty m:val="p"/>
            </m:rPr>
            <m:t>=</m:t>
          </m:r>
          <m:sSub>
            <m:e>
              <m:r>
                <m:t>H</m:t>
              </m:r>
            </m:e>
            <m:sub>
              <m:r>
                <m:t>S</m:t>
              </m:r>
            </m:sub>
          </m:sSub>
          <m:r>
            <m:rPr>
              <m:sty m:val="p"/>
            </m:rPr>
            <m:t>+</m:t>
          </m:r>
          <m:sSub>
            <m:e>
              <m:r>
                <m:t>K</m:t>
              </m:r>
            </m:e>
            <m:sub>
              <m:r>
                <m:t>x</m:t>
              </m:r>
            </m:sub>
          </m:sSub>
          <m:r>
            <m:rPr>
              <m:sty m:val="p"/>
            </m:rPr>
            <m:t>,</m:t>
          </m:r>
          <m:r>
            <m:t>  </m:t>
          </m:r>
          <m:r>
            <m:t>x</m:t>
          </m:r>
          <m:r>
            <m:rPr>
              <m:sty m:val="p"/>
            </m:rPr>
            <m:t>∈</m:t>
          </m:r>
          <m:r>
            <m:rPr>
              <m:sty m:val="p"/>
            </m:rPr>
            <m:t>{</m:t>
          </m:r>
          <m:r>
            <m:t>0</m:t>
          </m:r>
          <m:r>
            <m:rPr>
              <m:sty m:val="p"/>
            </m:rPr>
            <m:t>,</m:t>
          </m:r>
          <m:r>
            <m:t>1</m:t>
          </m:r>
          <m:r>
            <m:rPr>
              <m:sty m:val="p"/>
            </m:rPr>
            <m:t>}</m:t>
          </m:r>
          <m:r>
            <m:rPr>
              <m:sty m:val="p"/>
            </m:rPr>
            <m:t>,</m:t>
          </m:r>
        </m:oMath>
      </m:oMathPara>
    </w:p>
    <w:p>
      <w:pPr>
        <w:pStyle w:val="FirstParagraph"/>
      </w:pPr>
      <w:r>
        <w:t xml:space="preserve">where</w:t>
      </w:r>
      <w:r>
        <w:t xml:space="preserve"> </w:t>
      </w:r>
      <m:oMath>
        <m:sSub>
          <m:e>
            <m:r>
              <m:t>H</m:t>
            </m:r>
          </m:e>
          <m:sub>
            <m:r>
              <m:t>S</m:t>
            </m:r>
          </m:sub>
        </m:sSub>
      </m:oMath>
      <w:r>
        <w:t xml:space="preserve"> </w:t>
      </w:r>
      <w:r>
        <w:t xml:space="preserve">is the internal Hamiltonian and</w:t>
      </w:r>
      <w:r>
        <w:t xml:space="preserve"> </w:t>
      </w:r>
      <m:oMath>
        <m:sSub>
          <m:e>
            <m:r>
              <m:t>K</m:t>
            </m:r>
          </m:e>
          <m:sub>
            <m:r>
              <m:t>x</m:t>
            </m:r>
          </m:sub>
        </m:sSub>
      </m:oMath>
      <w:r>
        <w:t xml:space="preserve"> </w:t>
      </w:r>
      <w:r>
        <w:t xml:space="preserve">the source coupling (in the historical continuously driven calibration,</w:t>
      </w:r>
      <w:r>
        <w:t xml:space="preserve"> </w:t>
      </w:r>
      <m:oMath>
        <m:sSub>
          <m:e>
            <m:r>
              <m:t>K</m:t>
            </m:r>
          </m:e>
          <m:sub>
            <m:r>
              <m:t>x</m:t>
            </m:r>
          </m:sub>
        </m:sSub>
        <m:r>
          <m:rPr>
            <m:sty m:val="p"/>
          </m:rPr>
          <m:t>=</m:t>
        </m:r>
        <m:sSup>
          <m:e>
            <m:r>
              <m:rPr>
                <m:sty m:val="p"/>
              </m:rPr>
              <m:t>(</m:t>
            </m:r>
            <m:r>
              <m:rPr>
                <m:sty m:val="p"/>
              </m:rPr>
              <m:t>−</m:t>
            </m:r>
            <m:r>
              <m:t>1</m:t>
            </m:r>
            <m:r>
              <m:rPr>
                <m:sty m:val="p"/>
              </m:rPr>
              <m:t>)</m:t>
            </m:r>
          </m:e>
          <m:sup>
            <m:r>
              <m:t>x</m:t>
            </m:r>
          </m:sup>
        </m:sSup>
        <m:sSub>
          <m:e>
            <m:r>
              <m:t>K</m:t>
            </m:r>
          </m:e>
          <m:sub>
            <m:r>
              <m:rPr>
                <m:sty m:val="p"/>
              </m:rPr>
              <m:t>C</m:t>
            </m:r>
          </m:sub>
        </m:sSub>
      </m:oMath>
      <w:r>
        <w:t xml:space="preserve">). A preparation law</w:t>
      </w:r>
      <w:r>
        <w:t xml:space="preserve"> </w:t>
      </w:r>
      <m:oMath>
        <m:r>
          <m:rPr>
            <m:sty m:val="p"/>
            <m:scr m:val="sans-serif"/>
          </m:rPr>
          <m:t>P</m:t>
        </m:r>
      </m:oMath>
      <w:r>
        <w:t xml:space="preserve"> </w:t>
      </w:r>
      <w:r>
        <w:t xml:space="preserve">is a probability law over</w:t>
      </w:r>
      <w:r>
        <w:t xml:space="preserve"> </w:t>
      </w:r>
      <m:oMath>
        <m:r>
          <m:rPr>
            <m:sty m:val="p"/>
          </m:rPr>
          <m:t>(</m:t>
        </m:r>
        <m:sSub>
          <m:e>
            <m:r>
              <m:t>H</m:t>
            </m:r>
          </m:e>
          <m:sub>
            <m:r>
              <m:t>S</m:t>
            </m:r>
          </m:sub>
        </m:sSub>
        <m:r>
          <m:rPr>
            <m:sty m:val="p"/>
          </m:rPr>
          <m:t>,</m:t>
        </m:r>
        <m:r>
          <m:t>K</m:t>
        </m:r>
        <m:r>
          <m:rPr>
            <m:sty m:val="p"/>
          </m:rPr>
          <m:t>,</m:t>
        </m:r>
        <m:sSub>
          <m:e>
            <m:r>
              <m:t>ρ</m:t>
            </m:r>
          </m:e>
          <m:sub>
            <m:r>
              <m:t>x</m:t>
            </m:r>
          </m:sub>
        </m:sSub>
        <m:r>
          <m:rPr>
            <m:sty m:val="p"/>
          </m:rPr>
          <m:t>(</m:t>
        </m:r>
        <m:r>
          <m:t>0</m:t>
        </m:r>
        <m:r>
          <m:rPr>
            <m:sty m:val="p"/>
          </m:rPr>
          <m:t>)</m:t>
        </m:r>
        <m:r>
          <m:rPr>
            <m:sty m:val="p"/>
          </m:rPr>
          <m:t>)</m:t>
        </m:r>
      </m:oMath>
      <w:r>
        <w:t xml:space="preserve">, and the source-conditioned states are</w:t>
      </w:r>
      <w:r>
        <w:t xml:space="preserve"> </w:t>
      </w:r>
      <m:oMath>
        <m:sSub>
          <m:e>
            <m:r>
              <m:t>ρ</m:t>
            </m:r>
          </m:e>
          <m:sub>
            <m:r>
              <m:t>x</m:t>
            </m:r>
          </m:sub>
        </m:sSub>
        <m:r>
          <m:rPr>
            <m:sty m:val="p"/>
          </m:rPr>
          <m:t>(</m:t>
        </m:r>
        <m:r>
          <m:t>t</m:t>
        </m:r>
        <m:r>
          <m:rPr>
            <m:sty m:val="p"/>
          </m:rPr>
          <m:t>)</m:t>
        </m:r>
        <m:r>
          <m:rPr>
            <m:sty m:val="p"/>
          </m:rPr>
          <m:t>=</m:t>
        </m:r>
        <m:sSup>
          <m:e>
            <m:r>
              <m:t>e</m:t>
            </m:r>
          </m:e>
          <m:sup>
            <m:r>
              <m:rPr>
                <m:sty m:val="p"/>
              </m:rPr>
              <m:t>−</m:t>
            </m:r>
            <m:r>
              <m:t>i</m:t>
            </m:r>
            <m:sSub>
              <m:e>
                <m:r>
                  <m:t>H</m:t>
                </m:r>
              </m:e>
              <m:sub>
                <m:r>
                  <m:t>x</m:t>
                </m:r>
              </m:sub>
            </m:sSub>
            <m:r>
              <m:t>t</m:t>
            </m:r>
          </m:sup>
        </m:sSup>
        <m:sSub>
          <m:e>
            <m:r>
              <m:t>ρ</m:t>
            </m:r>
          </m:e>
          <m:sub>
            <m:r>
              <m:t>x</m:t>
            </m:r>
          </m:sub>
        </m:sSub>
        <m:r>
          <m:rPr>
            <m:sty m:val="p"/>
          </m:rPr>
          <m:t>(</m:t>
        </m:r>
        <m:r>
          <m:t>0</m:t>
        </m:r>
        <m:r>
          <m:rPr>
            <m:sty m:val="p"/>
          </m:rPr>
          <m:t>)</m:t>
        </m:r>
        <m:sSup>
          <m:e>
            <m:r>
              <m:t>e</m:t>
            </m:r>
          </m:e>
          <m:sup>
            <m:r>
              <m:t>i</m:t>
            </m:r>
            <m:sSub>
              <m:e>
                <m:r>
                  <m:t>H</m:t>
                </m:r>
              </m:e>
              <m:sub>
                <m:r>
                  <m:t>x</m:t>
                </m:r>
              </m:sub>
            </m:sSub>
            <m:r>
              <m:t>t</m:t>
            </m:r>
          </m:sup>
        </m:sSup>
      </m:oMath>
      <w:r>
        <w:t xml:space="preserve">. When the initial state does not depend on</w:t>
      </w:r>
      <w:r>
        <w:t xml:space="preserve"> </w:t>
      </w:r>
      <m:oMath>
        <m:r>
          <m:t>x</m:t>
        </m:r>
      </m:oMath>
      <w:r>
        <w:t xml:space="preserve"> </w:t>
      </w:r>
      <w:r>
        <w:t xml:space="preserve">we write</w:t>
      </w:r>
      <w:r>
        <w:t xml:space="preserve"> </w:t>
      </w:r>
      <m:oMath>
        <m:r>
          <m:t>ρ</m:t>
        </m:r>
        <m:r>
          <m:rPr>
            <m:sty m:val="p"/>
          </m:rPr>
          <m:t>(</m:t>
        </m:r>
        <m:r>
          <m:t>0</m:t>
        </m:r>
        <m:r>
          <m:rPr>
            <m:sty m:val="p"/>
          </m:rPr>
          <m:t>)</m:t>
        </m:r>
      </m:oMath>
      <w:r>
        <w:t xml:space="preserve">. The symbol</w:t>
      </w:r>
      <w:r>
        <w:t xml:space="preserve"> </w:t>
      </w:r>
      <m:oMath>
        <m:sSub>
          <m:e>
            <m:r>
              <m:t>K</m:t>
            </m:r>
          </m:e>
          <m:sub>
            <m:r>
              <m:rPr>
                <m:sty m:val="p"/>
              </m:rPr>
              <m:t>C</m:t>
            </m:r>
          </m:sub>
        </m:sSub>
      </m:oMath>
      <w:r>
        <w:t xml:space="preserve"> </w:t>
      </w:r>
      <w:r>
        <w:t xml:space="preserve">denotes a coupling operator; C in</w:t>
      </w:r>
      <w:r>
        <w:t xml:space="preserve"> </w:t>
      </w:r>
      <m:oMath>
        <m:sSub>
          <m:e>
            <m:r>
              <m:t>D</m:t>
            </m:r>
          </m:e>
          <m:sub>
            <m:r>
              <m:t>C</m:t>
            </m:r>
          </m:sub>
        </m:sSub>
      </m:oMath>
      <w:r>
        <w:t xml:space="preserve">,</w:t>
      </w:r>
      <w:r>
        <w:t xml:space="preserve"> </w:t>
      </w:r>
      <m:oMath>
        <m:sSub>
          <m:e>
            <m:r>
              <m:t>U</m:t>
            </m:r>
          </m:e>
          <m:sub>
            <m:r>
              <m:t>C</m:t>
            </m:r>
          </m:sub>
        </m:sSub>
      </m:oMath>
      <w:r>
        <w:t xml:space="preserve"> </w:t>
      </w:r>
      <w:r>
        <w:t xml:space="preserve">or</w:t>
      </w:r>
      <w:r>
        <w:t xml:space="preserve"> </w:t>
      </w:r>
      <m:oMath>
        <m:sSub>
          <m:e>
            <m:r>
              <m:t>H</m:t>
            </m:r>
          </m:e>
          <m:sub>
            <m:r>
              <m:t>C</m:t>
            </m:r>
          </m:sub>
        </m:sSub>
      </m:oMath>
      <w:r>
        <w:t xml:space="preserve"> </w:t>
      </w:r>
      <w:r>
        <w:t xml:space="preserve">labels the alternate frame.</w:t>
      </w:r>
    </w:p>
    <w:bookmarkEnd w:id="29"/>
    <w:bookmarkStart w:id="30" w:name="locality-score"/>
    <w:p>
      <w:pPr>
        <w:pStyle w:val="Heading2"/>
      </w:pPr>
      <w:r>
        <w:t xml:space="preserve">2.4 Locality score</w:t>
      </w:r>
    </w:p>
    <w:p>
      <w:pPr>
        <w:pStyle w:val="FirstParagraph"/>
      </w:pPr>
      <w:r>
        <w:t xml:space="preserve">For Hermitian</w:t>
      </w:r>
      <w:r>
        <w:t xml:space="preserve"> </w:t>
      </w:r>
      <m:oMath>
        <m:r>
          <m:t>H</m:t>
        </m:r>
      </m:oMath>
      <w:r>
        <w:t xml:space="preserve"> </w:t>
      </w:r>
      <w:r>
        <w:t xml:space="preserve">let</w:t>
      </w:r>
      <w:r>
        <w:t xml:space="preserve"> </w:t>
      </w:r>
      <m:oMath>
        <m:sSub>
          <m:e>
            <m:r>
              <m:t>H</m:t>
            </m:r>
          </m:e>
          <m:sub>
            <m:r>
              <m:t>0</m:t>
            </m:r>
          </m:sub>
        </m:sSub>
        <m:r>
          <m:rPr>
            <m:sty m:val="p"/>
          </m:rPr>
          <m:t>=</m:t>
        </m:r>
        <m:r>
          <m:t>H</m:t>
        </m:r>
        <m:r>
          <m:rPr>
            <m:sty m:val="p"/>
          </m:rPr>
          <m:t>−</m:t>
        </m:r>
        <m:r>
          <m:rPr>
            <m:sty m:val="p"/>
            <m:nor m:val="1"/>
          </m:rPr>
          <w:rPr>
            <w:i w:val="0"/>
          </w:rPr>
          <m:t>Tr</m:t>
        </m:r>
        <m:r>
          <m:rPr>
            <m:sty m:val="p"/>
          </m:rPr>
          <m:t>(</m:t>
        </m:r>
        <m:r>
          <m:t>H</m:t>
        </m:r>
        <m:r>
          <m:rPr>
            <m:sty m:val="p"/>
          </m:rPr>
          <m:t>)</m:t>
        </m:r>
        <m:r>
          <m:t>I</m:t>
        </m:r>
        <m:r>
          <m:rPr>
            <m:sty m:val="p"/>
          </m:rPr>
          <m:t>/</m:t>
        </m:r>
        <m:r>
          <m:t>d</m:t>
        </m:r>
      </m:oMath>
      <w:r>
        <w:t xml:space="preserve">. Let</w:t>
      </w:r>
      <w:r>
        <w:t xml:space="preserve"> </w:t>
      </w:r>
      <m:oMath>
        <m:sSub>
          <m:e>
            <m:r>
              <m:t>S</m:t>
            </m:r>
          </m:e>
          <m:sub>
            <m:r>
              <m:t>0</m:t>
            </m:r>
          </m:sub>
        </m:sSub>
      </m:oMath>
      <w:r>
        <w:t xml:space="preserve"> </w:t>
      </w:r>
      <w:r>
        <w:t xml:space="preserve">be a declared traceless Hermitian operator space and let</w:t>
      </w:r>
      <w:r>
        <w:t xml:space="preserve"> </w:t>
      </w:r>
      <m:oMath>
        <m:r>
          <m:t>S</m:t>
        </m:r>
        <m:r>
          <m:rPr>
            <m:sty m:val="p"/>
          </m:rPr>
          <m:t>=</m:t>
        </m:r>
        <m:r>
          <m:rPr>
            <m:sty m:val="p"/>
            <m:nor m:val="1"/>
          </m:rPr>
          <w:rPr>
            <w:i w:val="0"/>
          </w:rPr>
          <m:t>span</m:t>
        </m:r>
        <m:r>
          <m:rPr>
            <m:sty m:val="p"/>
          </m:rPr>
          <m:t>{</m:t>
        </m:r>
        <m:r>
          <m:t>I</m:t>
        </m:r>
        <m:r>
          <m:rPr>
            <m:sty m:val="p"/>
          </m:rPr>
          <m:t>}</m:t>
        </m:r>
        <m:r>
          <m:rPr>
            <m:sty m:val="p"/>
          </m:rPr>
          <m:t>⊕</m:t>
        </m:r>
        <m:sSub>
          <m:e>
            <m:r>
              <m:t>S</m:t>
            </m:r>
          </m:e>
          <m:sub>
            <m:r>
              <m:t>0</m:t>
            </m:r>
          </m:sub>
        </m:sSub>
      </m:oMath>
      <w:r>
        <w:t xml:space="preserve">. The canonical score is</w:t>
      </w:r>
    </w:p>
    <w:p>
      <w:pPr>
        <w:pStyle w:val="BodyText"/>
      </w:pPr>
      <m:oMathPara>
        <m:oMathParaPr>
          <m:jc m:val="center"/>
        </m:oMathParaPr>
        <m:oMath>
          <m:sSub>
            <m:e>
              <m:r>
                <m:t>L</m:t>
              </m:r>
            </m:e>
            <m:sub>
              <m:r>
                <m:t>S</m:t>
              </m:r>
            </m:sub>
          </m:sSub>
          <m:r>
            <m:rPr>
              <m:sty m:val="p"/>
            </m:rPr>
            <m:t>(</m:t>
          </m:r>
          <m:r>
            <m:t>H</m:t>
          </m:r>
          <m:r>
            <m:rPr>
              <m:sty m:val="p"/>
            </m:rPr>
            <m:t>)</m:t>
          </m:r>
          <m:r>
            <m:rPr>
              <m:sty m:val="p"/>
            </m:rPr>
            <m:t>=</m:t>
          </m:r>
          <m:f>
            <m:fPr>
              <m:type m:val="bar"/>
            </m:fPr>
            <m:num>
              <m:r>
                <m:rPr>
                  <m:sty m:val="p"/>
                </m:rPr>
                <m:t>∥</m:t>
              </m:r>
              <m:sSub>
                <m:e>
                  <m:r>
                    <m:t>H</m:t>
                  </m:r>
                </m:e>
                <m:sub>
                  <m:r>
                    <m:t>0</m:t>
                  </m:r>
                </m:sub>
              </m:sSub>
              <m:r>
                <m:rPr>
                  <m:sty m:val="p"/>
                </m:rPr>
                <m:t>−</m:t>
              </m:r>
              <m:sSub>
                <m:e>
                  <m:r>
                    <m:t>Π</m:t>
                  </m:r>
                </m:e>
                <m:sub>
                  <m:sSub>
                    <m:e>
                      <m:r>
                        <m:t>S</m:t>
                      </m:r>
                    </m:e>
                    <m:sub>
                      <m:r>
                        <m:t>0</m:t>
                      </m:r>
                    </m:sub>
                  </m:sSub>
                </m:sub>
              </m:sSub>
              <m:r>
                <m:rPr>
                  <m:sty m:val="p"/>
                </m:rPr>
                <m:t>(</m:t>
              </m:r>
              <m:sSub>
                <m:e>
                  <m:r>
                    <m:t>H</m:t>
                  </m:r>
                </m:e>
                <m:sub>
                  <m:r>
                    <m:t>0</m:t>
                  </m:r>
                </m:sub>
              </m:sSub>
              <m:r>
                <m:rPr>
                  <m:sty m:val="p"/>
                </m:rPr>
                <m:t>)</m:t>
              </m:r>
              <m:sSubSup>
                <m:e>
                  <m:r>
                    <m:rPr>
                      <m:sty m:val="p"/>
                    </m:rPr>
                    <m:t>∥</m:t>
                  </m:r>
                </m:e>
                <m:sub>
                  <m:r>
                    <m:t>2</m:t>
                  </m:r>
                </m:sub>
                <m:sup>
                  <m:r>
                    <m:t>2</m:t>
                  </m:r>
                </m:sup>
              </m:sSubSup>
            </m:num>
            <m:den>
              <m:r>
                <m:rPr>
                  <m:sty m:val="p"/>
                </m:rPr>
                <m:t>∥</m:t>
              </m:r>
              <m:sSub>
                <m:e>
                  <m:r>
                    <m:t>H</m:t>
                  </m:r>
                </m:e>
                <m:sub>
                  <m:r>
                    <m:t>0</m:t>
                  </m:r>
                </m:sub>
              </m:sSub>
              <m:sSubSup>
                <m:e>
                  <m:r>
                    <m:rPr>
                      <m:sty m:val="p"/>
                    </m:rPr>
                    <m:t>∥</m:t>
                  </m:r>
                </m:e>
                <m:sub>
                  <m:r>
                    <m:t>2</m:t>
                  </m:r>
                </m:sub>
                <m:sup>
                  <m:r>
                    <m:t>2</m:t>
                  </m:r>
                </m:sup>
              </m:sSubSup>
            </m:den>
          </m:f>
          <m:r>
            <m:rPr>
              <m:sty m:val="p"/>
            </m:rPr>
            <m:t>,</m:t>
          </m:r>
          <m:r>
            <m:t>  </m:t>
          </m:r>
          <m:sSub>
            <m:e>
              <m:r>
                <m:t>H</m:t>
              </m:r>
            </m:e>
            <m:sub>
              <m:r>
                <m:t>0</m:t>
              </m:r>
            </m:sub>
          </m:sSub>
          <m:r>
            <m:rPr>
              <m:sty m:val="p"/>
            </m:rPr>
            <m:t>≠</m:t>
          </m:r>
          <m:r>
            <m:t>0</m:t>
          </m:r>
          <m:r>
            <m:rPr>
              <m:sty m:val="p"/>
            </m:rPr>
            <m:t>.</m:t>
          </m:r>
          <m:r>
            <m:t>  </m:t>
          </m:r>
          <m:r>
            <m:rPr>
              <m:sty m:val="p"/>
            </m:rPr>
            <m:t>(</m:t>
          </m:r>
          <m:r>
            <m:t>2</m:t>
          </m:r>
          <m:r>
            <m:rPr>
              <m:sty m:val="p"/>
            </m:rPr>
            <m:t>)</m:t>
          </m:r>
        </m:oMath>
      </m:oMathPara>
    </w:p>
    <w:p>
      <w:pPr>
        <w:pStyle w:val="FirstParagraph"/>
      </w:pPr>
      <w:r>
        <w:t xml:space="preserve">All projectors here are Hilbert-Schmidt orthogonal. The legacy uncentered expression is denoted</w:t>
      </w:r>
      <w:r>
        <w:t xml:space="preserve"> </w:t>
      </w:r>
      <m:oMath>
        <m:sSubSup>
          <m:e>
            <m:r>
              <m:t>L</m:t>
            </m:r>
          </m:e>
          <m:sub>
            <m:r>
              <m:t>S</m:t>
            </m:r>
          </m:sub>
          <m:sup>
            <m:r>
              <m:rPr>
                <m:sty m:val="p"/>
              </m:rPr>
              <m:t>r</m:t>
            </m:r>
            <m:r>
              <m:rPr>
                <m:sty m:val="p"/>
              </m:rPr>
              <m:t>a</m:t>
            </m:r>
            <m:r>
              <m:rPr>
                <m:sty m:val="p"/>
              </m:rPr>
              <m:t>w</m:t>
            </m:r>
          </m:sup>
        </m:sSubSup>
        <m:r>
          <m:rPr>
            <m:sty m:val="p"/>
          </m:rPr>
          <m:t>(</m:t>
        </m:r>
        <m:r>
          <m:t>H</m:t>
        </m:r>
        <m:r>
          <m:rPr>
            <m:sty m:val="p"/>
          </m:rPr>
          <m:t>)</m:t>
        </m:r>
        <m:r>
          <m:rPr>
            <m:sty m:val="p"/>
          </m:rPr>
          <m:t>=</m:t>
        </m:r>
        <m:r>
          <m:rPr>
            <m:sty m:val="p"/>
          </m:rPr>
          <m:t>∥</m:t>
        </m:r>
        <m:r>
          <m:t>H</m:t>
        </m:r>
        <m:r>
          <m:rPr>
            <m:sty m:val="p"/>
          </m:rPr>
          <m:t>−</m:t>
        </m:r>
        <m:sSub>
          <m:e>
            <m:r>
              <m:t>Π</m:t>
            </m:r>
          </m:e>
          <m:sub>
            <m:r>
              <m:t>S</m:t>
            </m:r>
          </m:sub>
        </m:sSub>
        <m:r>
          <m:rPr>
            <m:sty m:val="p"/>
          </m:rPr>
          <m:t>(</m:t>
        </m:r>
        <m:r>
          <m:t>H</m:t>
        </m:r>
        <m:r>
          <m:rPr>
            <m:sty m:val="p"/>
          </m:rPr>
          <m:t>)</m:t>
        </m:r>
        <m:sSubSup>
          <m:e>
            <m:r>
              <m:rPr>
                <m:sty m:val="p"/>
              </m:rPr>
              <m:t>∥</m:t>
            </m:r>
          </m:e>
          <m:sub>
            <m:r>
              <m:t>2</m:t>
            </m:r>
          </m:sub>
          <m:sup>
            <m:r>
              <m:t>2</m:t>
            </m:r>
          </m:sup>
        </m:sSubSup>
        <m:r>
          <m:rPr>
            <m:sty m:val="p"/>
          </m:rPr>
          <m:t>/</m:t>
        </m:r>
        <m:r>
          <m:rPr>
            <m:sty m:val="p"/>
          </m:rPr>
          <m:t>∥</m:t>
        </m:r>
        <m:sSub>
          <m:e>
            <m:r>
              <m:t>H</m:t>
            </m:r>
          </m:e>
          <m:sub>
            <m:r>
              <m:t>0</m:t>
            </m:r>
          </m:sub>
        </m:sSub>
        <m:sSubSup>
          <m:e>
            <m:r>
              <m:rPr>
                <m:sty m:val="p"/>
              </m:rPr>
              <m:t>∥</m:t>
            </m:r>
          </m:e>
          <m:sub>
            <m:r>
              <m:t>2</m:t>
            </m:r>
          </m:sub>
          <m:sup>
            <m:r>
              <m:t>2</m:t>
            </m:r>
          </m:sup>
        </m:sSubSup>
      </m:oMath>
      <w:r>
        <w:t xml:space="preserve">. For identity-inclusive</w:t>
      </w:r>
      <w:r>
        <w:t xml:space="preserve"> </w:t>
      </w:r>
      <m:oMath>
        <m:r>
          <m:t>S</m:t>
        </m:r>
      </m:oMath>
      <w:r>
        <w:t xml:space="preserve"> </w:t>
      </w:r>
      <w:r>
        <w:t xml:space="preserve">these are identical. Lemma 1 states the precise domain of that equivalence; the two forms are not independent measurements.</w:t>
      </w:r>
      <w:r>
        <w:t xml:space="preserve"> </w:t>
      </w:r>
      <w:r>
        <w:t xml:space="preserve">A scalar Hamiltonian (</w:t>
      </w:r>
      <m:oMath>
        <m:sSub>
          <m:e>
            <m:r>
              <m:t>H</m:t>
            </m:r>
          </m:e>
          <m:sub>
            <m:r>
              <m:t>0</m:t>
            </m:r>
          </m:sub>
        </m:sSub>
        <m:r>
          <m:rPr>
            <m:sty m:val="p"/>
          </m:rPr>
          <m:t>=</m:t>
        </m:r>
        <m:r>
          <m:t>0</m:t>
        </m:r>
      </m:oMath>
      <w:r>
        <w:t xml:space="preserve">) receives UNINFORMATIVE_SCALAR. Numerical near-scalar exclusions use a declared absolute tolerance in stated input units, not one inflated by an arbitrary identity energy shift. A scalar source branch blocks the stated total normalized score unless an alternative aggregation was specified before analysis. Larger</w:t>
      </w:r>
      <w:r>
        <w:t xml:space="preserve"> </w:t>
      </w:r>
      <m:oMath>
        <m:r>
          <m:t>L</m:t>
        </m:r>
      </m:oMath>
      <w:r>
        <w:t xml:space="preserve"> </w:t>
      </w:r>
      <w:r>
        <w:t xml:space="preserve">means more weight outside the local span, so</w:t>
      </w:r>
      <w:r>
        <w:t xml:space="preserve"> </w:t>
      </w:r>
      <w:r>
        <w:rPr>
          <w:b/>
          <w:bCs/>
        </w:rPr>
        <w:t xml:space="preserve">a locality threshold is a ceiling</w:t>
      </w:r>
      <w:r>
        <w:t xml:space="preserve">. For a candidate,</w:t>
      </w:r>
      <w:r>
        <w:t xml:space="preserve"> </w:t>
      </w:r>
      <m:oMath>
        <m:r>
          <m:t>L</m:t>
        </m:r>
        <m:r>
          <m:rPr>
            <m:sty m:val="p"/>
          </m:rPr>
          <m:t>(</m:t>
        </m:r>
        <m:r>
          <m:t>D</m:t>
        </m:r>
        <m:r>
          <m:rPr>
            <m:sty m:val="p"/>
          </m:rPr>
          <m:t>;</m:t>
        </m:r>
        <m:r>
          <m:t>H</m:t>
        </m:r>
        <m:r>
          <m:rPr>
            <m:sty m:val="p"/>
          </m:rPr>
          <m:t>)</m:t>
        </m:r>
        <m:box>
          <m:boxPr>
            <m:opEmu m:val="on"/>
          </m:boxPr>
          <m:e>
            <m:r>
              <m:rPr>
                <m:sty m:val="p"/>
              </m:rPr>
              <m:t>:=</m:t>
            </m:r>
          </m:e>
        </m:box>
        <m:sSub>
          <m:e>
            <m:r>
              <m:t>L</m:t>
            </m:r>
          </m:e>
          <m:sub>
            <m:r>
              <m:t>S</m:t>
            </m:r>
          </m:sub>
        </m:sSub>
        <m:r>
          <m:rPr>
            <m:sty m:val="p"/>
          </m:rPr>
          <m:t>(</m:t>
        </m:r>
        <m:sSub>
          <m:e>
            <m:r>
              <m:t>H</m:t>
            </m:r>
          </m:e>
          <m:sub>
            <m:r>
              <m:t>D</m:t>
            </m:r>
          </m:sub>
        </m:sSub>
        <m:r>
          <m:rPr>
            <m:sty m:val="p"/>
          </m:rPr>
          <m:t>)</m:t>
        </m:r>
      </m:oMath>
      <w:r>
        <w:t xml:space="preserve">. Two versions enter the analysis and must be declared in advance:</w:t>
      </w:r>
    </w:p>
    <w:p>
      <w:pPr>
        <w:pStyle w:val="Compact"/>
        <w:numPr>
          <w:ilvl w:val="0"/>
          <w:numId w:val="1002"/>
        </w:numPr>
      </w:pPr>
      <w:r>
        <w:rPr>
          <w:b/>
          <w:bCs/>
        </w:rPr>
        <w:t xml:space="preserve">internal locality</w:t>
      </w:r>
      <w:r>
        <w:t xml:space="preserve">,</w:t>
      </w:r>
      <w:r>
        <w:t xml:space="preserve"> </w:t>
      </w:r>
      <m:oMath>
        <m:sSup>
          <m:e>
            <m:r>
              <m:t>L</m:t>
            </m:r>
          </m:e>
          <m:sup>
            <m:r>
              <m:rPr>
                <m:sty m:val="p"/>
              </m:rPr>
              <m:t>i</m:t>
            </m:r>
            <m:r>
              <m:rPr>
                <m:sty m:val="p"/>
              </m:rPr>
              <m:t>n</m:t>
            </m:r>
            <m:r>
              <m:rPr>
                <m:sty m:val="p"/>
              </m:rPr>
              <m:t>t</m:t>
            </m:r>
          </m:sup>
        </m:sSup>
        <m:r>
          <m:rPr>
            <m:sty m:val="p"/>
          </m:rPr>
          <m:t>(</m:t>
        </m:r>
        <m:r>
          <m:t>D</m:t>
        </m:r>
        <m:r>
          <m:rPr>
            <m:sty m:val="p"/>
          </m:rPr>
          <m:t>)</m:t>
        </m:r>
        <m:r>
          <m:rPr>
            <m:sty m:val="p"/>
          </m:rPr>
          <m:t>=</m:t>
        </m:r>
        <m:r>
          <m:t>L</m:t>
        </m:r>
        <m:r>
          <m:rPr>
            <m:sty m:val="p"/>
          </m:rPr>
          <m:t>(</m:t>
        </m:r>
        <m:r>
          <m:t>D</m:t>
        </m:r>
        <m:r>
          <m:rPr>
            <m:sty m:val="p"/>
          </m:rPr>
          <m:t>;</m:t>
        </m:r>
        <m:sSub>
          <m:e>
            <m:r>
              <m:t>H</m:t>
            </m:r>
          </m:e>
          <m:sub>
            <m:r>
              <m:t>S</m:t>
            </m:r>
          </m:sub>
        </m:sSub>
        <m:r>
          <m:rPr>
            <m:sty m:val="p"/>
          </m:rPr>
          <m:t>)</m:t>
        </m:r>
      </m:oMath>
      <w:r>
        <w:t xml:space="preserve">;</w:t>
      </w:r>
    </w:p>
    <w:p>
      <w:pPr>
        <w:pStyle w:val="Compact"/>
        <w:numPr>
          <w:ilvl w:val="0"/>
          <w:numId w:val="1002"/>
        </w:numPr>
      </w:pPr>
      <w:r>
        <w:rPr>
          <w:b/>
          <w:bCs/>
        </w:rPr>
        <w:t xml:space="preserve">total locality</w:t>
      </w:r>
      <w:r>
        <w:t xml:space="preserve">,</w:t>
      </w:r>
      <w:r>
        <w:t xml:space="preserve"> </w:t>
      </w:r>
      <m:oMath>
        <m:sSup>
          <m:e>
            <m:r>
              <m:t>L</m:t>
            </m:r>
          </m:e>
          <m:sup>
            <m:r>
              <m:rPr>
                <m:sty m:val="p"/>
              </m:rPr>
              <m:t>t</m:t>
            </m:r>
            <m:r>
              <m:rPr>
                <m:sty m:val="p"/>
              </m:rPr>
              <m:t>o</m:t>
            </m:r>
            <m:r>
              <m:rPr>
                <m:sty m:val="p"/>
              </m:rPr>
              <m:t>t</m:t>
            </m:r>
          </m:sup>
        </m:sSup>
        <m:r>
          <m:rPr>
            <m:sty m:val="p"/>
          </m:rPr>
          <m:t>(</m:t>
        </m:r>
        <m:r>
          <m:t>D</m:t>
        </m:r>
        <m:r>
          <m:rPr>
            <m:sty m:val="p"/>
          </m:rPr>
          <m:t>)</m:t>
        </m:r>
        <m:r>
          <m:rPr>
            <m:sty m:val="p"/>
          </m:rPr>
          <m:t>=</m:t>
        </m:r>
        <m:nary>
          <m:naryPr>
            <m:chr m:val="∑"/>
            <m:limLoc m:val="undOvr"/>
            <m:subHide m:val="off"/>
            <m:supHide m:val="on"/>
          </m:naryPr>
          <m:sub>
            <m:r>
              <m:t>x</m:t>
            </m:r>
          </m:sub>
          <m:sup>
            <m:r>
              <m:t>​</m:t>
            </m:r>
          </m:sup>
          <m:e>
            <m:sSub>
              <m:e>
                <m:r>
                  <m:t>p</m:t>
                </m:r>
              </m:e>
              <m:sub>
                <m:r>
                  <m:t>x</m:t>
                </m:r>
              </m:sub>
            </m:sSub>
          </m:e>
        </m:nary>
        <m:r>
          <m:t> </m:t>
        </m:r>
        <m:r>
          <m:t>L</m:t>
        </m:r>
        <m:r>
          <m:rPr>
            <m:sty m:val="p"/>
          </m:rPr>
          <m:t>(</m:t>
        </m:r>
        <m:r>
          <m:t>D</m:t>
        </m:r>
        <m:r>
          <m:rPr>
            <m:sty m:val="p"/>
          </m:rPr>
          <m:t>;</m:t>
        </m:r>
        <m:sSub>
          <m:e>
            <m:r>
              <m:t>H</m:t>
            </m:r>
          </m:e>
          <m:sub>
            <m:r>
              <m:t>x</m:t>
            </m:r>
          </m:sub>
        </m:sSub>
        <m:r>
          <m:rPr>
            <m:sty m:val="p"/>
          </m:rPr>
          <m:t>)</m:t>
        </m:r>
      </m:oMath>
      <w:r>
        <w:t xml:space="preserve">.</w:t>
      </w:r>
    </w:p>
    <w:p>
      <w:pPr>
        <w:pStyle w:val="FirstParagraph"/>
      </w:pPr>
      <w:r>
        <w:t xml:space="preserve">Supplement Section S2.6 shows how the choice changes the descriptive verdict in the historical continuously driven calibration.</w:t>
      </w:r>
    </w:p>
    <w:bookmarkEnd w:id="30"/>
    <w:bookmarkStart w:id="31" w:name="records"/>
    <w:p>
      <w:pPr>
        <w:pStyle w:val="Heading2"/>
      </w:pPr>
      <w:r>
        <w:t xml:space="preserve">2.5 Records</w:t>
      </w:r>
    </w:p>
    <w:p>
      <w:pPr>
        <w:pStyle w:val="FirstParagraph"/>
      </w:pPr>
      <w:r>
        <w:t xml:space="preserve">For fragment</w:t>
      </w:r>
      <w:r>
        <w:t xml:space="preserve"> </w:t>
      </w:r>
      <m:oMath>
        <m:r>
          <m:t>F</m:t>
        </m:r>
      </m:oMath>
      <w:r>
        <w:t xml:space="preserve">, candidate</w:t>
      </w:r>
      <w:r>
        <w:t xml:space="preserve"> </w:t>
      </w:r>
      <m:oMath>
        <m:r>
          <m:t>D</m:t>
        </m:r>
      </m:oMath>
      <w:r>
        <w:t xml:space="preserve"> </w:t>
      </w:r>
      <w:r>
        <w:t xml:space="preserve">and time</w:t>
      </w:r>
      <w:r>
        <w:t xml:space="preserve"> </w:t>
      </w:r>
      <m:oMath>
        <m:r>
          <m:t>t</m:t>
        </m:r>
      </m:oMath>
      <w:r>
        <w:t xml:space="preserve">, the conditional fragment states are</w:t>
      </w:r>
      <w:r>
        <w:t xml:space="preserve"> </w:t>
      </w:r>
      <m:oMath>
        <m:sSubSup>
          <m:e>
            <m:r>
              <m:t>ρ</m:t>
            </m:r>
          </m:e>
          <m:sub>
            <m:r>
              <m:t>F</m:t>
            </m:r>
            <m:r>
              <m:rPr>
                <m:sty m:val="p"/>
              </m:rPr>
              <m:t>,</m:t>
            </m:r>
            <m:r>
              <m:t>x</m:t>
            </m:r>
          </m:sub>
          <m:sup>
            <m:r>
              <m:t>D</m:t>
            </m:r>
          </m:sup>
        </m:sSubSup>
        <m:r>
          <m:rPr>
            <m:sty m:val="p"/>
          </m:rPr>
          <m:t>(</m:t>
        </m:r>
        <m:r>
          <m:t>t</m:t>
        </m:r>
        <m:r>
          <m:rPr>
            <m:sty m:val="p"/>
          </m:rPr>
          <m:t>)</m:t>
        </m:r>
        <m:r>
          <m:rPr>
            <m:sty m:val="p"/>
          </m:rPr>
          <m:t>=</m:t>
        </m:r>
        <m:sSub>
          <m:e>
            <m:r>
              <m:rPr>
                <m:sty m:val="p"/>
                <m:nor m:val="1"/>
              </m:rPr>
              <w:rPr>
                <w:i w:val="0"/>
              </w:rPr>
              <m:t>Tr</m:t>
            </m:r>
          </m:e>
          <m:sub>
            <m:acc>
              <m:accPr>
                <m:chr m:val="‾"/>
              </m:accPr>
              <m:e>
                <m:r>
                  <m:t>F</m:t>
                </m:r>
              </m:e>
            </m:acc>
          </m:sub>
        </m:sSub>
        <m:r>
          <m:t> </m:t>
        </m:r>
        <m:sSub>
          <m:e>
            <m:r>
              <m:t>ρ</m:t>
            </m:r>
          </m:e>
          <m:sub>
            <m:r>
              <m:t>x</m:t>
            </m:r>
            <m:r>
              <m:rPr>
                <m:sty m:val="p"/>
              </m:rPr>
              <m:t>,</m:t>
            </m:r>
            <m:r>
              <m:t>D</m:t>
            </m:r>
          </m:sub>
        </m:sSub>
        <m:r>
          <m:rPr>
            <m:sty m:val="p"/>
          </m:rPr>
          <m:t>(</m:t>
        </m:r>
        <m:r>
          <m:t>t</m:t>
        </m:r>
        <m:r>
          <m:rPr>
            <m:sty m:val="p"/>
          </m:rPr>
          <m:t>)</m:t>
        </m:r>
      </m:oMath>
      <w:r>
        <w:t xml:space="preserve">. The optimal probability of error in guessing</w:t>
      </w:r>
      <w:r>
        <w:t xml:space="preserve"> </w:t>
      </w:r>
      <m:oMath>
        <m:r>
          <m:t>x</m:t>
        </m:r>
      </m:oMath>
      <w:r>
        <w:t xml:space="preserve"> </w:t>
      </w:r>
      <w:r>
        <w:t xml:space="preserve">from</w:t>
      </w:r>
      <w:r>
        <w:t xml:space="preserve"> </w:t>
      </w:r>
      <m:oMath>
        <m:r>
          <m:t>F</m:t>
        </m:r>
      </m:oMath>
      <w:r>
        <w:t xml:space="preserve"> </w:t>
      </w:r>
      <w:r>
        <w:t xml:space="preserve">is the Helstrom error [Helstrom 1969]</w:t>
      </w:r>
    </w:p>
    <w:p>
      <w:pPr>
        <w:pStyle w:val="BodyText"/>
      </w:pPr>
      <m:oMathPara>
        <m:oMathParaPr>
          <m:jc m:val="center"/>
        </m:oMathParaPr>
        <m:oMath>
          <m:sSub>
            <m:e>
              <m:r>
                <m:t>p</m:t>
              </m:r>
            </m:e>
            <m:sub>
              <m:r>
                <m:rPr>
                  <m:sty m:val="p"/>
                </m:rPr>
                <m:t>e</m:t>
              </m:r>
              <m:r>
                <m:rPr>
                  <m:sty m:val="p"/>
                </m:rPr>
                <m:t>r</m:t>
              </m:r>
              <m:r>
                <m:rPr>
                  <m:sty m:val="p"/>
                </m:rPr>
                <m:t>r</m:t>
              </m:r>
            </m:sub>
          </m:sSub>
          <m:r>
            <m:rPr>
              <m:sty m:val="p"/>
            </m:rPr>
            <m:t>(</m:t>
          </m:r>
          <m:r>
            <m:t>F</m:t>
          </m:r>
          <m:r>
            <m:rPr>
              <m:sty m:val="p"/>
            </m:rPr>
            <m:t>,</m:t>
          </m:r>
          <m:r>
            <m:t>D</m:t>
          </m:r>
          <m:r>
            <m:rPr>
              <m:sty m:val="p"/>
            </m:rPr>
            <m:t>,</m:t>
          </m:r>
          <m:r>
            <m:t>t</m:t>
          </m:r>
          <m:r>
            <m:rPr>
              <m:sty m:val="p"/>
            </m:rPr>
            <m:t>)</m:t>
          </m:r>
          <m:r>
            <m:rPr>
              <m:sty m:val="p"/>
            </m:rPr>
            <m:t>=</m:t>
          </m:r>
          <m:f>
            <m:fPr>
              <m:type m:val="lin"/>
            </m:fPr>
            <m:num>
              <m:r>
                <m:t>1</m:t>
              </m:r>
            </m:num>
            <m:den>
              <m:r>
                <m:t>2</m:t>
              </m:r>
            </m:den>
          </m:f>
          <m:r>
            <m:rPr>
              <m:sty m:val="p"/>
            </m:rPr>
            <m:t>(</m:t>
          </m:r>
          <m:r>
            <m:t>1</m:t>
          </m:r>
          <m:r>
            <m:rPr>
              <m:sty m:val="p"/>
            </m:rPr>
            <m:t>−</m:t>
          </m:r>
          <m:r>
            <m:rPr>
              <m:sty m:val="p"/>
            </m:rPr>
            <m:t>∥</m:t>
          </m:r>
          <m:sSub>
            <m:e>
              <m:r>
                <m:t>p</m:t>
              </m:r>
            </m:e>
            <m:sub>
              <m:r>
                <m:t>0</m:t>
              </m:r>
            </m:sub>
          </m:sSub>
          <m:sSubSup>
            <m:e>
              <m:r>
                <m:t>ρ</m:t>
              </m:r>
            </m:e>
            <m:sub>
              <m:r>
                <m:t>F</m:t>
              </m:r>
              <m:r>
                <m:rPr>
                  <m:sty m:val="p"/>
                </m:rPr>
                <m:t>,</m:t>
              </m:r>
              <m:r>
                <m:t>0</m:t>
              </m:r>
            </m:sub>
            <m:sup>
              <m:r>
                <m:t>D</m:t>
              </m:r>
            </m:sup>
          </m:sSubSup>
          <m:r>
            <m:rPr>
              <m:sty m:val="p"/>
            </m:rPr>
            <m:t>(</m:t>
          </m:r>
          <m:r>
            <m:t>t</m:t>
          </m:r>
          <m:r>
            <m:rPr>
              <m:sty m:val="p"/>
            </m:rPr>
            <m:t>)</m:t>
          </m:r>
          <m:r>
            <m:rPr>
              <m:sty m:val="p"/>
            </m:rPr>
            <m:t>−</m:t>
          </m:r>
          <m:sSub>
            <m:e>
              <m:r>
                <m:t>p</m:t>
              </m:r>
            </m:e>
            <m:sub>
              <m:r>
                <m:t>1</m:t>
              </m:r>
            </m:sub>
          </m:sSub>
          <m:sSubSup>
            <m:e>
              <m:r>
                <m:t>ρ</m:t>
              </m:r>
            </m:e>
            <m:sub>
              <m:r>
                <m:t>F</m:t>
              </m:r>
              <m:r>
                <m:rPr>
                  <m:sty m:val="p"/>
                </m:rPr>
                <m:t>,</m:t>
              </m:r>
              <m:r>
                <m:t>1</m:t>
              </m:r>
            </m:sub>
            <m:sup>
              <m:r>
                <m:t>D</m:t>
              </m:r>
            </m:sup>
          </m:sSubSup>
          <m:r>
            <m:rPr>
              <m:sty m:val="p"/>
            </m:rPr>
            <m:t>(</m:t>
          </m:r>
          <m:r>
            <m:t>t</m:t>
          </m:r>
          <m:r>
            <m:rPr>
              <m:sty m:val="p"/>
            </m:rPr>
            <m:t>)</m:t>
          </m:r>
          <m:sSub>
            <m:e>
              <m:r>
                <m:rPr>
                  <m:sty m:val="p"/>
                </m:rPr>
                <m:t>∥</m:t>
              </m:r>
            </m:e>
            <m:sub>
              <m:r>
                <m:t>1</m:t>
              </m:r>
            </m:sub>
          </m:sSub>
          <m:r>
            <m:rPr>
              <m:sty m:val="p"/>
            </m:rPr>
            <m:t>)</m:t>
          </m:r>
          <m:r>
            <m:rPr>
              <m:sty m:val="p"/>
            </m:rPr>
            <m:t>,</m:t>
          </m:r>
          <m:r>
            <m:t>  </m:t>
          </m:r>
          <m:r>
            <m:rPr>
              <m:sty m:val="p"/>
            </m:rPr>
            <m:t>(</m:t>
          </m:r>
          <m:r>
            <m:t>3</m:t>
          </m:r>
          <m:r>
            <m:rPr>
              <m:sty m:val="p"/>
            </m:rPr>
            <m:t>)</m:t>
          </m:r>
        </m:oMath>
      </m:oMathPara>
    </w:p>
    <w:p>
      <w:pPr>
        <w:pStyle w:val="FirstParagraph"/>
      </w:pPr>
      <w:r>
        <w:t xml:space="preserve">which for equal priors is</w:t>
      </w:r>
      <w:r>
        <w:t xml:space="preserve"> </w:t>
      </w:r>
      <m:oMath>
        <m:f>
          <m:fPr>
            <m:type m:val="lin"/>
          </m:fPr>
          <m:num>
            <m:r>
              <m:t>1</m:t>
            </m:r>
          </m:num>
          <m:den>
            <m:r>
              <m:t>2</m:t>
            </m:r>
          </m:den>
        </m:f>
        <m:r>
          <m:rPr>
            <m:sty m:val="p"/>
          </m:rPr>
          <m:t>−</m:t>
        </m:r>
        <m:f>
          <m:fPr>
            <m:type m:val="lin"/>
          </m:fPr>
          <m:num>
            <m:r>
              <m:t>1</m:t>
            </m:r>
          </m:num>
          <m:den>
            <m:r>
              <m:t>4</m:t>
            </m:r>
          </m:den>
        </m:f>
        <m:r>
          <m:rPr>
            <m:sty m:val="p"/>
          </m:rPr>
          <m:t>∥</m:t>
        </m:r>
        <m:sSubSup>
          <m:e>
            <m:r>
              <m:t>ρ</m:t>
            </m:r>
          </m:e>
          <m:sub>
            <m:r>
              <m:t>F</m:t>
            </m:r>
            <m:r>
              <m:rPr>
                <m:sty m:val="p"/>
              </m:rPr>
              <m:t>,</m:t>
            </m:r>
            <m:r>
              <m:t>0</m:t>
            </m:r>
          </m:sub>
          <m:sup>
            <m:r>
              <m:t>D</m:t>
            </m:r>
          </m:sup>
        </m:sSubSup>
        <m:r>
          <m:rPr>
            <m:sty m:val="p"/>
          </m:rPr>
          <m:t>−</m:t>
        </m:r>
        <m:sSubSup>
          <m:e>
            <m:r>
              <m:t>ρ</m:t>
            </m:r>
          </m:e>
          <m:sub>
            <m:r>
              <m:t>F</m:t>
            </m:r>
            <m:r>
              <m:rPr>
                <m:sty m:val="p"/>
              </m:rPr>
              <m:t>,</m:t>
            </m:r>
            <m:r>
              <m:t>1</m:t>
            </m:r>
          </m:sub>
          <m:sup>
            <m:r>
              <m:t>D</m:t>
            </m:r>
          </m:sup>
        </m:sSubSup>
        <m:sSub>
          <m:e>
            <m:r>
              <m:rPr>
                <m:sty m:val="p"/>
              </m:rPr>
              <m:t>∥</m:t>
            </m:r>
          </m:e>
          <m:sub>
            <m:r>
              <m:t>1</m:t>
            </m:r>
          </m:sub>
        </m:sSub>
      </m:oMath>
      <w:r>
        <w:t xml:space="preserve">. With unrestricted measurements on</w:t>
      </w:r>
      <w:r>
        <w:t xml:space="preserve"> </w:t>
      </w:r>
      <m:oMath>
        <m:r>
          <m:t>F</m:t>
        </m:r>
      </m:oMath>
      <w:r>
        <w:t xml:space="preserve">, the bound is attained by a projective measurement of the weighted difference. Restricted or costly decoders require their own attainable error; fragment size alone does not certify that physical access is available. The Holevo quantity</w:t>
      </w:r>
      <w:r>
        <w:t xml:space="preserve"> </w:t>
      </w:r>
      <m:oMath>
        <m:r>
          <m:t>χ</m:t>
        </m:r>
        <m:r>
          <m:rPr>
            <m:sty m:val="p"/>
          </m:rPr>
          <m:t>(</m:t>
        </m:r>
        <m:r>
          <m:t>X</m:t>
        </m:r>
        <m:r>
          <m:rPr>
            <m:sty m:val="p"/>
          </m:rPr>
          <m:t>:</m:t>
        </m:r>
        <m:r>
          <m:t>F</m:t>
        </m:r>
        <m:r>
          <m:rPr>
            <m:sty m:val="p"/>
          </m:rPr>
          <m:t>)</m:t>
        </m:r>
      </m:oMath>
      <w:r>
        <w:t xml:space="preserve"> </w:t>
      </w:r>
      <w:r>
        <w:t xml:space="preserve">is an upper bound on accessible information, not an achieved value [Wilde 2019]; we therefore qualify records by (3). A fragment</w:t>
      </w:r>
      <w:r>
        <w:t xml:space="preserve"> </w:t>
      </w:r>
      <w:r>
        <w:rPr>
          <w:b/>
          <w:bCs/>
        </w:rPr>
        <w:t xml:space="preserve">qualifies</w:t>
      </w:r>
      <w:r>
        <w:t xml:space="preserve"> </w:t>
      </w:r>
      <w:r>
        <w:t xml:space="preserve">at tolerance</w:t>
      </w:r>
      <w:r>
        <w:t xml:space="preserve"> </w:t>
      </w:r>
      <m:oMath>
        <m:r>
          <m:t>ε</m:t>
        </m:r>
      </m:oMath>
      <w:r>
        <w:t xml:space="preserve"> </w:t>
      </w:r>
      <w:r>
        <w:t xml:space="preserve">over a window</w:t>
      </w:r>
      <w:r>
        <w:t xml:space="preserve"> </w:t>
      </w:r>
      <m:oMath>
        <m:sSub>
          <m:e>
            <m:r>
              <m:t>T</m:t>
            </m:r>
          </m:e>
          <m:sub>
            <m:r>
              <m:t>w</m:t>
            </m:r>
          </m:sub>
        </m:sSub>
      </m:oMath>
      <w:r>
        <w:t xml:space="preserve"> </w:t>
      </w:r>
      <w:r>
        <w:t xml:space="preserve">if</w:t>
      </w:r>
      <w:r>
        <w:t xml:space="preserve"> </w:t>
      </w:r>
      <m:oMath>
        <m:sSub>
          <m:e>
            <m:r>
              <m:t>p</m:t>
            </m:r>
          </m:e>
          <m:sub>
            <m:r>
              <m:rPr>
                <m:sty m:val="p"/>
              </m:rPr>
              <m:t>e</m:t>
            </m:r>
            <m:r>
              <m:rPr>
                <m:sty m:val="p"/>
              </m:rPr>
              <m:t>r</m:t>
            </m:r>
            <m:r>
              <m:rPr>
                <m:sty m:val="p"/>
              </m:rPr>
              <m:t>r</m:t>
            </m:r>
          </m:sub>
        </m:sSub>
        <m:r>
          <m:rPr>
            <m:sty m:val="p"/>
          </m:rPr>
          <m:t>(</m:t>
        </m:r>
        <m:r>
          <m:t>F</m:t>
        </m:r>
        <m:r>
          <m:rPr>
            <m:sty m:val="p"/>
          </m:rPr>
          <m:t>,</m:t>
        </m:r>
        <m:r>
          <m:t>D</m:t>
        </m:r>
        <m:r>
          <m:rPr>
            <m:sty m:val="p"/>
          </m:rPr>
          <m:t>,</m:t>
        </m:r>
        <m:r>
          <m:t>t</m:t>
        </m:r>
        <m:r>
          <m:rPr>
            <m:sty m:val="p"/>
          </m:rPr>
          <m:t>)</m:t>
        </m:r>
        <m:r>
          <m:rPr>
            <m:sty m:val="p"/>
          </m:rPr>
          <m:t>≤</m:t>
        </m:r>
        <m:r>
          <m:t>ε</m:t>
        </m:r>
      </m:oMath>
      <w:r>
        <w:t xml:space="preserve"> </w:t>
      </w:r>
      <w:r>
        <w:t xml:space="preserve">for all</w:t>
      </w:r>
      <w:r>
        <w:t xml:space="preserve"> </w:t>
      </w:r>
      <m:oMath>
        <m:r>
          <m:t>t</m:t>
        </m:r>
        <m:r>
          <m:rPr>
            <m:sty m:val="p"/>
          </m:rPr>
          <m:t>∈</m:t>
        </m:r>
        <m:sSub>
          <m:e>
            <m:r>
              <m:t>T</m:t>
            </m:r>
          </m:e>
          <m:sub>
            <m:r>
              <m:t>w</m:t>
            </m:r>
          </m:sub>
        </m:sSub>
      </m:oMath>
      <w:r>
        <w:t xml:space="preserve">. The</w:t>
      </w:r>
      <w:r>
        <w:t xml:space="preserve"> </w:t>
      </w:r>
      <w:r>
        <w:rPr>
          <w:b/>
          <w:bCs/>
        </w:rPr>
        <w:t xml:space="preserve">record score</w:t>
      </w:r>
      <w:r>
        <w:t xml:space="preserve"> </w:t>
      </w:r>
      <m:oMath>
        <m:r>
          <m:t>R</m:t>
        </m:r>
        <m:r>
          <m:rPr>
            <m:sty m:val="p"/>
          </m:rPr>
          <m:t>(</m:t>
        </m:r>
        <m:r>
          <m:t>D</m:t>
        </m:r>
        <m:r>
          <m:rPr>
            <m:sty m:val="p"/>
          </m:rPr>
          <m:t>)</m:t>
        </m:r>
      </m:oMath>
      <w:r>
        <w:t xml:space="preserve"> </w:t>
      </w:r>
      <w:r>
        <w:t xml:space="preserve">is the largest number of pairwise disjoint qualifying fragments within a declared fragment-size limit. Disjoint fragments may still be correlated; stronger objectivity notions such as spectrum broadcast structure require additional conditions [Horodecki, Korbicz and Horodecki 2015; Le and Olaya-Castro 2019, 2021]. A prior with</w:t>
      </w:r>
      <w:r>
        <w:t xml:space="preserve"> </w:t>
      </w:r>
      <m:oMath>
        <m:sSub>
          <m:e>
            <m:r>
              <m:rPr>
                <m:sty m:val="p"/>
                <m:nor m:val="1"/>
              </m:rPr>
              <w:rPr>
                <w:i w:val="0"/>
              </w:rPr>
              <m:t>min</m:t>
            </m:r>
          </m:e>
          <m:sub>
            <m:r>
              <m:t>x</m:t>
            </m:r>
          </m:sub>
        </m:sSub>
        <m:sSub>
          <m:e>
            <m:r>
              <m:t>p</m:t>
            </m:r>
          </m:e>
          <m:sub>
            <m:r>
              <m:t>x</m:t>
            </m:r>
          </m:sub>
        </m:sSub>
      </m:oMath>
      <w:r>
        <w:t xml:space="preserve"> </w:t>
      </w:r>
      <w:r>
        <w:t xml:space="preserve">near zero makes a small error uninformative, so the source prior is part of the declared design. For a formation claim, declare an initial-error floor on the same fragments:</w:t>
      </w:r>
      <w:r>
        <w:t xml:space="preserve"> </w:t>
      </w:r>
      <m:oMath>
        <m:sSub>
          <m:e>
            <m:r>
              <m:t>p</m:t>
            </m:r>
          </m:e>
          <m:sub>
            <m:r>
              <m:rPr>
                <m:sty m:val="p"/>
              </m:rPr>
              <m:t>e</m:t>
            </m:r>
            <m:r>
              <m:rPr>
                <m:sty m:val="p"/>
              </m:rPr>
              <m:t>r</m:t>
            </m:r>
            <m:r>
              <m:rPr>
                <m:sty m:val="p"/>
              </m:rPr>
              <m:t>r</m:t>
            </m:r>
          </m:sub>
        </m:sSub>
        <m:r>
          <m:rPr>
            <m:sty m:val="p"/>
          </m:rPr>
          <m:t>(</m:t>
        </m:r>
        <m:r>
          <m:t>F</m:t>
        </m:r>
        <m:r>
          <m:rPr>
            <m:sty m:val="p"/>
          </m:rPr>
          <m:t>,</m:t>
        </m:r>
        <m:r>
          <m:t>D</m:t>
        </m:r>
        <m:r>
          <m:rPr>
            <m:sty m:val="p"/>
          </m:rPr>
          <m:t>,</m:t>
        </m:r>
        <m:r>
          <m:t>0</m:t>
        </m:r>
        <m:r>
          <m:rPr>
            <m:sty m:val="p"/>
          </m:rPr>
          <m:t>)</m:t>
        </m:r>
        <m:r>
          <m:rPr>
            <m:sty m:val="p"/>
          </m:rPr>
          <m:t>≥</m:t>
        </m:r>
        <m:r>
          <m:rPr>
            <m:sty m:val="p"/>
            <m:nor m:val="1"/>
          </m:rPr>
          <w:rPr>
            <w:i w:val="0"/>
          </w:rPr>
          <m:t>min</m:t>
        </m:r>
        <m:r>
          <m:rPr>
            <m:sty m:val="p"/>
          </m:rPr>
          <m:t>(</m:t>
        </m:r>
        <m:sSub>
          <m:e>
            <m:r>
              <m:t>p</m:t>
            </m:r>
          </m:e>
          <m:sub>
            <m:r>
              <m:t>0</m:t>
            </m:r>
          </m:sub>
        </m:sSub>
        <m:r>
          <m:rPr>
            <m:sty m:val="p"/>
          </m:rPr>
          <m:t>,</m:t>
        </m:r>
        <m:sSub>
          <m:e>
            <m:r>
              <m:t>p</m:t>
            </m:r>
          </m:e>
          <m:sub>
            <m:r>
              <m:t>1</m:t>
            </m:r>
          </m:sub>
        </m:sSub>
        <m:r>
          <m:rPr>
            <m:sty m:val="p"/>
          </m:rPr>
          <m:t>)</m:t>
        </m:r>
        <m:r>
          <m:rPr>
            <m:sty m:val="p"/>
          </m:rPr>
          <m:t>−</m:t>
        </m:r>
        <m:sSub>
          <m:e>
            <m:r>
              <m:t>ϵ</m:t>
            </m:r>
          </m:e>
          <m:sub>
            <m:r>
              <m:t>0</m:t>
            </m:r>
          </m:sub>
        </m:sSub>
      </m:oMath>
      <w:r>
        <w:t xml:space="preserve">, and then require persistent final error at most</w:t>
      </w:r>
      <w:r>
        <w:t xml:space="preserve"> </w:t>
      </w:r>
      <m:oMath>
        <m:r>
          <m:t>ε</m:t>
        </m:r>
        <m:r>
          <m:rPr>
            <m:sty m:val="p"/>
          </m:rPr>
          <m:t>&lt;</m:t>
        </m:r>
        <m:r>
          <m:rPr>
            <m:sty m:val="p"/>
            <m:nor m:val="1"/>
          </m:rPr>
          <w:rPr>
            <w:i w:val="0"/>
          </w:rPr>
          <m:t>min</m:t>
        </m:r>
        <m:r>
          <m:rPr>
            <m:sty m:val="p"/>
          </m:rPr>
          <m:t>(</m:t>
        </m:r>
        <m:sSub>
          <m:e>
            <m:r>
              <m:t>p</m:t>
            </m:r>
          </m:e>
          <m:sub>
            <m:r>
              <m:t>0</m:t>
            </m:r>
          </m:sub>
        </m:sSub>
        <m:r>
          <m:rPr>
            <m:sty m:val="p"/>
          </m:rPr>
          <m:t>,</m:t>
        </m:r>
        <m:sSub>
          <m:e>
            <m:r>
              <m:t>p</m:t>
            </m:r>
          </m:e>
          <m:sub>
            <m:r>
              <m:t>1</m:t>
            </m:r>
          </m:sub>
        </m:sSub>
        <m:r>
          <m:rPr>
            <m:sty m:val="p"/>
          </m:rPr>
          <m:t>)</m:t>
        </m:r>
        <m:r>
          <m:rPr>
            <m:sty m:val="p"/>
          </m:rPr>
          <m:t>−</m:t>
        </m:r>
        <m:sSub>
          <m:e>
            <m:r>
              <m:t>ϵ</m:t>
            </m:r>
          </m:e>
          <m:sub>
            <m:r>
              <m:t>0</m:t>
            </m:r>
          </m:sub>
        </m:sSub>
      </m:oMath>
      <w:r>
        <w:t xml:space="preserve">. Let</w:t>
      </w:r>
      <w:r>
        <w:t xml:space="preserve"> </w:t>
      </w:r>
      <m:oMath>
        <m:sSub>
          <m:e>
            <m:r>
              <m:t>R</m:t>
            </m:r>
          </m:e>
          <m:sub>
            <m:r>
              <m:rPr>
                <m:sty m:val="p"/>
              </m:rPr>
              <m:t>n</m:t>
            </m:r>
            <m:r>
              <m:rPr>
                <m:sty m:val="p"/>
              </m:rPr>
              <m:t>e</m:t>
            </m:r>
            <m:r>
              <m:rPr>
                <m:sty m:val="p"/>
              </m:rPr>
              <m:t>w</m:t>
            </m:r>
          </m:sub>
        </m:sSub>
        <m:r>
          <m:rPr>
            <m:sty m:val="p"/>
          </m:rPr>
          <m:t>(</m:t>
        </m:r>
        <m:r>
          <m:t>D</m:t>
        </m:r>
        <m:r>
          <m:rPr>
            <m:sty m:val="p"/>
          </m:rPr>
          <m:t>)</m:t>
        </m:r>
      </m:oMath>
      <w:r>
        <w:t xml:space="preserve"> </w:t>
      </w:r>
      <w:r>
        <w:t xml:space="preserve">count only fragments satisfying both conditions. A change in total count alone is insufficient: old records can disappear while different fragments acquire new ones. The presence score</w:t>
      </w:r>
      <w:r>
        <w:t xml:space="preserve"> </w:t>
      </w:r>
      <m:oMath>
        <m:r>
          <m:t>R</m:t>
        </m:r>
      </m:oMath>
      <w:r>
        <w:t xml:space="preserve"> </w:t>
      </w:r>
      <w:r>
        <w:t xml:space="preserve">and formation score</w:t>
      </w:r>
      <w:r>
        <w:t xml:space="preserve"> </w:t>
      </w:r>
      <m:oMath>
        <m:sSub>
          <m:e>
            <m:r>
              <m:t>R</m:t>
            </m:r>
          </m:e>
          <m:sub>
            <m:r>
              <m:rPr>
                <m:sty m:val="p"/>
              </m:rPr>
              <m:t>n</m:t>
            </m:r>
            <m:r>
              <m:rPr>
                <m:sty m:val="p"/>
              </m:rPr>
              <m:t>e</m:t>
            </m:r>
            <m:r>
              <m:rPr>
                <m:sty m:val="p"/>
              </m:rPr>
              <m:t>w</m:t>
            </m:r>
          </m:sub>
        </m:sSub>
      </m:oMath>
      <w:r>
        <w:t xml:space="preserve"> </w:t>
      </w:r>
      <w:r>
        <w:t xml:space="preserve">remain distinct. Pointwise optimal decoding assumes knowledge of readout time and permits its decoder to vary; Appendix D states the stronger fixed-decoder alternative and the continuum certificate.</w:t>
      </w:r>
    </w:p>
    <w:bookmarkEnd w:id="31"/>
    <w:bookmarkStart w:id="32" w:name="X7e0c5d92f998cdfd9ee1e3ceb9e3fc60033795e"/>
    <w:p>
      <w:pPr>
        <w:pStyle w:val="Heading2"/>
      </w:pPr>
      <w:r>
        <w:t xml:space="preserve">2.6 Near-optimal sets and the association event</w:t>
      </w:r>
    </w:p>
    <w:p>
      <w:pPr>
        <w:pStyle w:val="FirstParagraph"/>
      </w:pPr>
      <w:r>
        <w:t xml:space="preserve">With parameters frozen before scoring,</w:t>
      </w:r>
    </w:p>
    <w:p>
      <w:pPr>
        <w:pStyle w:val="BodyText"/>
      </w:pPr>
      <m:oMathPara>
        <m:oMathParaPr>
          <m:jc m:val="center"/>
        </m:oMathParaPr>
        <m:oMath>
          <m:sSub>
            <m:e>
              <m:r>
                <m:rPr>
                  <m:sty m:val="p"/>
                  <m:scr m:val="script"/>
                </m:rPr>
                <m:t>N</m:t>
              </m:r>
            </m:e>
            <m:sub>
              <m:r>
                <m:t>L</m:t>
              </m:r>
            </m:sub>
          </m:sSub>
          <m:r>
            <m:rPr>
              <m:sty m:val="p"/>
            </m:rPr>
            <m:t>=</m:t>
          </m:r>
          <m:r>
            <m:rPr>
              <m:sty m:val="p"/>
            </m:rPr>
            <m:t>{</m:t>
          </m:r>
          <m:r>
            <m:rPr>
              <m:sty m:val="p"/>
            </m:rPr>
            <m:t>[</m:t>
          </m:r>
          <m:r>
            <m:t>D</m:t>
          </m:r>
          <m:r>
            <m:rPr>
              <m:sty m:val="p"/>
            </m:rPr>
            <m:t>]</m:t>
          </m:r>
          <m:r>
            <m:rPr>
              <m:sty m:val="p"/>
            </m:rPr>
            <m:t>:</m:t>
          </m:r>
          <m:r>
            <m:t>L</m:t>
          </m:r>
          <m:r>
            <m:rPr>
              <m:sty m:val="p"/>
            </m:rPr>
            <m:t>(</m:t>
          </m:r>
          <m:r>
            <m:t>D</m:t>
          </m:r>
          <m:r>
            <m:rPr>
              <m:sty m:val="p"/>
            </m:rPr>
            <m:t>)</m:t>
          </m:r>
          <m:r>
            <m:rPr>
              <m:sty m:val="p"/>
            </m:rPr>
            <m:t>≤</m:t>
          </m:r>
          <m:sSub>
            <m:e>
              <m:r>
                <m:t>τ</m:t>
              </m:r>
            </m:e>
            <m:sub>
              <m:r>
                <m:t>L</m:t>
              </m:r>
            </m:sub>
          </m:sSub>
          <m:r>
            <m:rPr>
              <m:sty m:val="p"/>
            </m:rPr>
            <m:t>,</m:t>
          </m:r>
          <m:r>
            <m:t> </m:t>
          </m:r>
          <m:r>
            <m:t>L</m:t>
          </m:r>
          <m:r>
            <m:rPr>
              <m:sty m:val="p"/>
            </m:rPr>
            <m:t>(</m:t>
          </m:r>
          <m:r>
            <m:t>D</m:t>
          </m:r>
          <m:r>
            <m:rPr>
              <m:sty m:val="p"/>
            </m:rPr>
            <m:t>)</m:t>
          </m:r>
          <m:r>
            <m:rPr>
              <m:sty m:val="p"/>
            </m:rPr>
            <m:t>≤</m:t>
          </m:r>
          <m:limLow>
            <m:e>
              <m:r>
                <m:rPr>
                  <m:sty m:val="p"/>
                  <m:nor m:val="1"/>
                </m:rPr>
                <w:rPr>
                  <w:i w:val="0"/>
                </w:rPr>
                <m:t>min</m:t>
              </m:r>
            </m:e>
            <m:lim>
              <m:r>
                <m:t>D</m:t>
              </m:r>
              <m:r>
                <m:rPr>
                  <m:sty m:val="p"/>
                </m:rPr>
                <m:t>′</m:t>
              </m:r>
            </m:lim>
          </m:limLow>
          <m:r>
            <m:t>L</m:t>
          </m:r>
          <m:r>
            <m:rPr>
              <m:sty m:val="p"/>
            </m:rPr>
            <m:t>(</m:t>
          </m:r>
          <m:r>
            <m:t>D</m:t>
          </m:r>
          <m:r>
            <m:rPr>
              <m:sty m:val="p"/>
            </m:rPr>
            <m:t>′</m:t>
          </m:r>
          <m:r>
            <m:rPr>
              <m:sty m:val="p"/>
            </m:rPr>
            <m:t>)</m:t>
          </m:r>
          <m:r>
            <m:rPr>
              <m:sty m:val="p"/>
            </m:rPr>
            <m:t>+</m:t>
          </m:r>
          <m:sSub>
            <m:e>
              <m:r>
                <m:t>ϵ</m:t>
              </m:r>
            </m:e>
            <m:sub>
              <m:r>
                <m:t>L</m:t>
              </m:r>
            </m:sub>
          </m:sSub>
          <m:r>
            <m:rPr>
              <m:sty m:val="p"/>
            </m:rPr>
            <m:t>}</m:t>
          </m:r>
          <m:r>
            <m:rPr>
              <m:sty m:val="p"/>
            </m:rPr>
            <m:t>.</m:t>
          </m:r>
        </m:oMath>
      </m:oMathPara>
    </w:p>
    <w:p>
      <w:pPr>
        <w:pStyle w:val="FirstParagraph"/>
      </w:pPr>
      <m:oMathPara>
        <m:oMathParaPr>
          <m:jc m:val="center"/>
        </m:oMathParaPr>
        <m:oMath>
          <m:sSub>
            <m:e>
              <m:r>
                <m:rPr>
                  <m:sty m:val="p"/>
                  <m:scr m:val="script"/>
                </m:rPr>
                <m:t>N</m:t>
              </m:r>
            </m:e>
            <m:sub>
              <m:r>
                <m:t>R</m:t>
              </m:r>
            </m:sub>
          </m:sSub>
          <m:r>
            <m:rPr>
              <m:sty m:val="p"/>
            </m:rPr>
            <m:t>=</m:t>
          </m:r>
          <m:r>
            <m:rPr>
              <m:sty m:val="p"/>
            </m:rPr>
            <m:t>{</m:t>
          </m:r>
          <m:r>
            <m:rPr>
              <m:sty m:val="p"/>
            </m:rPr>
            <m:t>[</m:t>
          </m:r>
          <m:r>
            <m:t>D</m:t>
          </m:r>
          <m:r>
            <m:rPr>
              <m:sty m:val="p"/>
            </m:rPr>
            <m:t>]</m:t>
          </m:r>
          <m:r>
            <m:rPr>
              <m:sty m:val="p"/>
            </m:rPr>
            <m:t>:</m:t>
          </m:r>
          <m:r>
            <m:t>R</m:t>
          </m:r>
          <m:r>
            <m:rPr>
              <m:sty m:val="p"/>
            </m:rPr>
            <m:t>(</m:t>
          </m:r>
          <m:r>
            <m:t>D</m:t>
          </m:r>
          <m:r>
            <m:rPr>
              <m:sty m:val="p"/>
            </m:rPr>
            <m:t>)</m:t>
          </m:r>
          <m:r>
            <m:rPr>
              <m:sty m:val="p"/>
            </m:rPr>
            <m:t>≥</m:t>
          </m:r>
          <m:sSub>
            <m:e>
              <m:r>
                <m:t>τ</m:t>
              </m:r>
            </m:e>
            <m:sub>
              <m:r>
                <m:t>R</m:t>
              </m:r>
            </m:sub>
          </m:sSub>
          <m:r>
            <m:rPr>
              <m:sty m:val="p"/>
            </m:rPr>
            <m:t>,</m:t>
          </m:r>
          <m:r>
            <m:t> </m:t>
          </m:r>
          <m:r>
            <m:t>R</m:t>
          </m:r>
          <m:r>
            <m:rPr>
              <m:sty m:val="p"/>
            </m:rPr>
            <m:t>(</m:t>
          </m:r>
          <m:r>
            <m:t>D</m:t>
          </m:r>
          <m:r>
            <m:rPr>
              <m:sty m:val="p"/>
            </m:rPr>
            <m:t>)</m:t>
          </m:r>
          <m:r>
            <m:rPr>
              <m:sty m:val="p"/>
            </m:rPr>
            <m:t>≥</m:t>
          </m:r>
          <m:limLow>
            <m:e>
              <m:r>
                <m:rPr>
                  <m:sty m:val="p"/>
                  <m:nor m:val="1"/>
                </m:rPr>
                <w:rPr>
                  <w:i w:val="0"/>
                </w:rPr>
                <m:t>max</m:t>
              </m:r>
            </m:e>
            <m:lim>
              <m:r>
                <m:t>D</m:t>
              </m:r>
              <m:r>
                <m:rPr>
                  <m:sty m:val="p"/>
                </m:rPr>
                <m:t>′</m:t>
              </m:r>
            </m:lim>
          </m:limLow>
          <m:r>
            <m:t>R</m:t>
          </m:r>
          <m:r>
            <m:rPr>
              <m:sty m:val="p"/>
            </m:rPr>
            <m:t>(</m:t>
          </m:r>
          <m:r>
            <m:t>D</m:t>
          </m:r>
          <m:r>
            <m:rPr>
              <m:sty m:val="p"/>
            </m:rPr>
            <m:t>′</m:t>
          </m:r>
          <m:r>
            <m:rPr>
              <m:sty m:val="p"/>
            </m:rPr>
            <m:t>)</m:t>
          </m:r>
          <m:r>
            <m:rPr>
              <m:sty m:val="p"/>
            </m:rPr>
            <m:t>−</m:t>
          </m:r>
          <m:sSub>
            <m:e>
              <m:r>
                <m:t>ϵ</m:t>
              </m:r>
            </m:e>
            <m:sub>
              <m:r>
                <m:t>R</m:t>
              </m:r>
            </m:sub>
          </m:sSub>
          <m:r>
            <m:rPr>
              <m:sty m:val="p"/>
            </m:rPr>
            <m:t>}</m:t>
          </m:r>
          <m:r>
            <m:rPr>
              <m:sty m:val="p"/>
            </m:rPr>
            <m:t>.</m:t>
          </m:r>
        </m:oMath>
      </m:oMathPara>
    </w:p>
    <w:p>
      <w:pPr>
        <w:pStyle w:val="FirstParagraph"/>
      </w:pPr>
      <w:r>
        <w:t xml:space="preserve">The association event for one sampled model and history is</w:t>
      </w:r>
      <w:r>
        <w:t xml:space="preserve"> </w:t>
      </w:r>
      <m:oMath>
        <m:r>
          <m:t>A</m:t>
        </m:r>
        <m:r>
          <m:rPr>
            <m:sty m:val="p"/>
          </m:rPr>
          <m:t>=</m:t>
        </m:r>
        <m:r>
          <m:rPr>
            <m:sty m:val="p"/>
            <m:scr m:val="double-struck"/>
          </m:rPr>
          <m:t>1</m:t>
        </m:r>
        <m:r>
          <m:rPr>
            <m:sty m:val="p"/>
          </m:rPr>
          <m:t>[</m:t>
        </m:r>
        <m:sSub>
          <m:e>
            <m:r>
              <m:rPr>
                <m:sty m:val="p"/>
                <m:scr m:val="script"/>
              </m:rPr>
              <m:t>N</m:t>
            </m:r>
          </m:e>
          <m:sub>
            <m:r>
              <m:t>L</m:t>
            </m:r>
          </m:sub>
        </m:sSub>
        <m:r>
          <m:rPr>
            <m:sty m:val="p"/>
          </m:rPr>
          <m:t>∩</m:t>
        </m:r>
        <m:sSub>
          <m:e>
            <m:r>
              <m:rPr>
                <m:sty m:val="p"/>
                <m:scr m:val="script"/>
              </m:rPr>
              <m:t>N</m:t>
            </m:r>
          </m:e>
          <m:sub>
            <m:r>
              <m:t>R</m:t>
            </m:r>
          </m:sub>
        </m:sSub>
        <m:r>
          <m:rPr>
            <m:sty m:val="p"/>
          </m:rPr>
          <m:t>≠</m:t>
        </m:r>
        <m:r>
          <m:rPr>
            <m:sty m:val="p"/>
          </m:rPr>
          <m:t>∅</m:t>
        </m:r>
        <m:r>
          <m:rPr>
            <m:sty m:val="p"/>
          </m:rPr>
          <m:t>]</m:t>
        </m:r>
      </m:oMath>
      <w:r>
        <w:t xml:space="preserve">. Empty sets stay empty; a model with no qualifying records has</w:t>
      </w:r>
      <w:r>
        <w:t xml:space="preserve"> </w:t>
      </w:r>
      <m:oMath>
        <m:r>
          <m:t>A</m:t>
        </m:r>
        <m:r>
          <m:rPr>
            <m:sty m:val="p"/>
          </m:rPr>
          <m:t>=</m:t>
        </m:r>
        <m:r>
          <m:t>0</m:t>
        </m:r>
      </m:oMath>
      <w:r>
        <w:t xml:space="preserve"> </w:t>
      </w:r>
      <w:r>
        <w:t xml:space="preserve">and remains in every denominator.</w:t>
      </w:r>
    </w:p>
    <w:bookmarkEnd w:id="32"/>
    <w:bookmarkStart w:id="33" w:name="Xceb80e4a5f1cda01ed8953be4d395f98dade796"/>
    <w:p>
      <w:pPr>
        <w:pStyle w:val="Heading2"/>
      </w:pPr>
      <w:r>
        <w:t xml:space="preserve">2.7 Span similarity, access equivalence and numerical clusters</w:t>
      </w:r>
    </w:p>
    <w:p>
      <w:pPr>
        <w:pStyle w:val="FirstParagraph"/>
      </w:pPr>
      <w:r>
        <w:t xml:space="preserve">A candidate includes both a locality span and an access structure. Their stabilizers can differ. For equal-rank operator-space projectors define</w:t>
      </w:r>
    </w:p>
    <w:p>
      <w:pPr>
        <w:pStyle w:val="BodyText"/>
      </w:pPr>
      <m:oMathPara>
        <m:oMathParaPr>
          <m:jc m:val="center"/>
        </m:oMathParaPr>
        <m:oMath>
          <m:sSub>
            <m:e>
              <m:r>
                <m:t>δ</m:t>
              </m:r>
            </m:e>
            <m:sub>
              <m:r>
                <m:t>S</m:t>
              </m:r>
            </m:sub>
          </m:sSub>
          <m:r>
            <m:rPr>
              <m:sty m:val="p"/>
            </m:rPr>
            <m:t>(</m:t>
          </m:r>
          <m:r>
            <m:t>D</m:t>
          </m:r>
          <m:r>
            <m:rPr>
              <m:sty m:val="p"/>
            </m:rPr>
            <m:t>,</m:t>
          </m:r>
          <m:r>
            <m:t>E</m:t>
          </m:r>
          <m:r>
            <m:rPr>
              <m:sty m:val="p"/>
            </m:rPr>
            <m:t>)</m:t>
          </m:r>
          <m:r>
            <m:rPr>
              <m:sty m:val="p"/>
            </m:rPr>
            <m:t>=</m:t>
          </m:r>
          <m:r>
            <m:t>1</m:t>
          </m:r>
          <m:r>
            <m:rPr>
              <m:sty m:val="p"/>
            </m:rPr>
            <m:t>−</m:t>
          </m:r>
          <m:f>
            <m:fPr>
              <m:type m:val="bar"/>
            </m:fPr>
            <m:num>
              <m:r>
                <m:rPr>
                  <m:sty m:val="p"/>
                  <m:nor m:val="1"/>
                </m:rPr>
                <w:rPr>
                  <w:i w:val="0"/>
                </w:rPr>
                <m:t>Tr</m:t>
              </m:r>
              <m:r>
                <m:rPr>
                  <m:sty m:val="p"/>
                </m:rPr>
                <m:t>(</m:t>
              </m:r>
              <m:sSub>
                <m:e>
                  <m:r>
                    <m:t>P</m:t>
                  </m:r>
                </m:e>
                <m:sub>
                  <m:r>
                    <m:t>D</m:t>
                  </m:r>
                </m:sub>
              </m:sSub>
              <m:sSub>
                <m:e>
                  <m:r>
                    <m:t>P</m:t>
                  </m:r>
                </m:e>
                <m:sub>
                  <m:r>
                    <m:t>E</m:t>
                  </m:r>
                </m:sub>
              </m:sSub>
              <m:r>
                <m:rPr>
                  <m:sty m:val="p"/>
                </m:rPr>
                <m:t>)</m:t>
              </m:r>
            </m:num>
            <m:den>
              <m:r>
                <m:t>r</m:t>
              </m:r>
            </m:den>
          </m:f>
          <m:r>
            <m:rPr>
              <m:sty m:val="p"/>
            </m:rPr>
            <m:t>=</m:t>
          </m:r>
          <m:f>
            <m:fPr>
              <m:type m:val="bar"/>
            </m:fPr>
            <m:num>
              <m:r>
                <m:rPr>
                  <m:sty m:val="p"/>
                </m:rPr>
                <m:t>∥</m:t>
              </m:r>
              <m:sSub>
                <m:e>
                  <m:r>
                    <m:t>P</m:t>
                  </m:r>
                </m:e>
                <m:sub>
                  <m:r>
                    <m:t>D</m:t>
                  </m:r>
                </m:sub>
              </m:sSub>
              <m:r>
                <m:rPr>
                  <m:sty m:val="p"/>
                </m:rPr>
                <m:t>−</m:t>
              </m:r>
              <m:sSub>
                <m:e>
                  <m:r>
                    <m:t>P</m:t>
                  </m:r>
                </m:e>
                <m:sub>
                  <m:r>
                    <m:t>E</m:t>
                  </m:r>
                </m:sub>
              </m:sSub>
              <m:sSubSup>
                <m:e>
                  <m:r>
                    <m:rPr>
                      <m:sty m:val="p"/>
                    </m:rPr>
                    <m:t>∥</m:t>
                  </m:r>
                </m:e>
                <m:sub>
                  <m:r>
                    <m:rPr>
                      <m:sty m:val="p"/>
                    </m:rPr>
                    <m:t>H</m:t>
                  </m:r>
                  <m:r>
                    <m:rPr>
                      <m:sty m:val="p"/>
                    </m:rPr>
                    <m:t>S</m:t>
                  </m:r>
                </m:sub>
                <m:sup>
                  <m:r>
                    <m:t>2</m:t>
                  </m:r>
                </m:sup>
              </m:sSubSup>
            </m:num>
            <m:den>
              <m:r>
                <m:t>2</m:t>
              </m:r>
              <m:r>
                <m:t>r</m:t>
              </m:r>
            </m:den>
          </m:f>
          <m:r>
            <m:rPr>
              <m:sty m:val="p"/>
            </m:rPr>
            <m:t>.</m:t>
          </m:r>
        </m:oMath>
      </m:oMathPara>
    </w:p>
    <w:p>
      <w:pPr>
        <w:pStyle w:val="FirstParagraph"/>
      </w:pPr>
      <w:r>
        <w:t xml:space="preserve">This is a squared projector discrepancy. Its square root is a distance on the rank-</w:t>
      </w:r>
      <m:oMath>
        <m:r>
          <m:t>r</m:t>
        </m:r>
      </m:oMath>
      <w:r>
        <w:t xml:space="preserve"> </w:t>
      </w:r>
      <w:r>
        <w:t xml:space="preserve">projector space. Neither expression alone identifies the full locality-and-access structure. The construction is related to operator-subspace geometry, but is not automatically the same object or theorem as the tensor-product-structure measures of Andreadakis and Zanardi (2025).</w:t>
      </w:r>
    </w:p>
    <w:p>
      <w:pPr>
        <w:pStyle w:val="BodyText"/>
      </w:pPr>
      <w:r>
        <w:rPr>
          <w:b/>
          <w:bCs/>
        </w:rPr>
        <w:t xml:space="preserve">Exact counterexample 1: proximity is not equivalence.</w:t>
      </w:r>
      <w:r>
        <w:t xml:space="preserve"> </w:t>
      </w:r>
      <w:r>
        <w:t xml:space="preserve">Rotate</w:t>
      </w:r>
      <w:r>
        <w:t xml:space="preserve"> </w:t>
      </w:r>
      <m:oMath>
        <m:r>
          <m:rPr>
            <m:sty m:val="p"/>
            <m:nor m:val="1"/>
          </m:rPr>
          <w:rPr>
            <w:i w:val="0"/>
          </w:rPr>
          <m:t>span</m:t>
        </m:r>
        <m:r>
          <m:rPr>
            <m:sty m:val="p"/>
          </m:rPr>
          <m:t>{</m:t>
        </m:r>
        <m:r>
          <m:t>I</m:t>
        </m:r>
        <m:r>
          <m:rPr>
            <m:sty m:val="p"/>
          </m:rPr>
          <m:t>,</m:t>
        </m:r>
        <m:r>
          <m:t>Z</m:t>
        </m:r>
        <m:r>
          <m:rPr>
            <m:sty m:val="p"/>
          </m:rPr>
          <m:t>}</m:t>
        </m:r>
      </m:oMath>
      <w:r>
        <w:t xml:space="preserve"> </w:t>
      </w:r>
      <w:r>
        <w:t xml:space="preserve">about the</w:t>
      </w:r>
      <w:r>
        <w:t xml:space="preserve"> </w:t>
      </w:r>
      <m:oMath>
        <m:r>
          <m:t>Y</m:t>
        </m:r>
      </m:oMath>
      <w:r>
        <w:t xml:space="preserve"> </w:t>
      </w:r>
      <w:r>
        <w:t xml:space="preserve">axis through Bloch angles</w:t>
      </w:r>
      <w:r>
        <w:t xml:space="preserve"> </w:t>
      </w:r>
      <m:oMath>
        <m:r>
          <m:t>0</m:t>
        </m:r>
        <m:r>
          <m:rPr>
            <m:sty m:val="p"/>
          </m:rPr>
          <m:t>,</m:t>
        </m:r>
        <m:r>
          <m:t>0.2</m:t>
        </m:r>
        <m:r>
          <m:rPr>
            <m:sty m:val="p"/>
          </m:rPr>
          <m:t>,</m:t>
        </m:r>
        <m:r>
          <m:t>0.4</m:t>
        </m:r>
      </m:oMath>
      <w:r>
        <w:t xml:space="preserve">. Consecutive discrepancies equal</w:t>
      </w:r>
      <w:r>
        <w:t xml:space="preserve"> </w:t>
      </w:r>
      <m:oMath>
        <m:r>
          <m:t>0.0197347515</m:t>
        </m:r>
      </m:oMath>
      <w:r>
        <w:t xml:space="preserve">, while the endpoint discrepancy is</w:t>
      </w:r>
      <w:r>
        <w:t xml:space="preserve"> </w:t>
      </w:r>
      <m:oMath>
        <m:r>
          <m:t>0.0758233227</m:t>
        </m:r>
      </m:oMath>
      <w:r>
        <w:t xml:space="preserve">. Thus</w:t>
      </w:r>
      <w:r>
        <w:t xml:space="preserve"> </w:t>
      </w:r>
      <m:oMath>
        <m:r>
          <m:t>δ</m:t>
        </m:r>
        <m:r>
          <m:rPr>
            <m:sty m:val="p"/>
          </m:rPr>
          <m:t>&lt;</m:t>
        </m:r>
        <m:r>
          <m:t>0.03</m:t>
        </m:r>
      </m:oMath>
      <w:r>
        <w:t xml:space="preserve"> </w:t>
      </w:r>
      <w:r>
        <w:t xml:space="preserve">is not transitive. Also the squared discrepancy violates the triangle inequality in this example. Exact equivalence is assessed by a declared stabilizer. Approximate groups are called clusters and need a deterministic clustering algorithm, a tie rule and threshold sensitivity; they are never silently substituted for mathematical quotient classes.</w:t>
      </w:r>
    </w:p>
    <w:p>
      <w:pPr>
        <w:pStyle w:val="BodyText"/>
      </w:pPr>
      <w:r>
        <w:rPr>
          <w:b/>
          <w:bCs/>
        </w:rPr>
        <w:t xml:space="preserve">Exact counterexample 2: equal spans need not give equal records.</w:t>
      </w:r>
      <w:r>
        <w:t xml:space="preserve"> </w:t>
      </w:r>
      <w:r>
        <w:t xml:space="preserve">On two qubits let the allowed span be the complete operator space, so every conjugation leaves it unchanged. Compare the identity and controlled-NOT representatives, and source-conditioned vectors</w:t>
      </w:r>
      <w:r>
        <w:t xml:space="preserve"> </w:t>
      </w:r>
      <m:oMath>
        <m:r>
          <m:rPr>
            <m:sty m:val="p"/>
          </m:rPr>
          <m:t>∣</m:t>
        </m:r>
        <m:r>
          <m:t>00</m:t>
        </m:r>
        <m:r>
          <m:rPr>
            <m:sty m:val="p"/>
          </m:rPr>
          <m:t>⟩</m:t>
        </m:r>
        <m:r>
          <m:rPr>
            <m:sty m:val="p"/>
          </m:rPr>
          <m:t>,</m:t>
        </m:r>
        <m:r>
          <m:rPr>
            <m:sty m:val="p"/>
          </m:rPr>
          <m:t>∣</m:t>
        </m:r>
        <m:r>
          <m:t>11</m:t>
        </m:r>
        <m:r>
          <m:rPr>
            <m:sty m:val="p"/>
          </m:rPr>
          <m:t>⟩</m:t>
        </m:r>
      </m:oMath>
      <w:r>
        <w:t xml:space="preserve">. The identity access structure has two perfect single-qubit records. In controlled-NOT coordinates the vectors are</w:t>
      </w:r>
      <w:r>
        <w:t xml:space="preserve"> </w:t>
      </w:r>
      <m:oMath>
        <m:r>
          <m:rPr>
            <m:sty m:val="p"/>
          </m:rPr>
          <m:t>∣</m:t>
        </m:r>
        <m:r>
          <m:t>00</m:t>
        </m:r>
        <m:r>
          <m:rPr>
            <m:sty m:val="p"/>
          </m:rPr>
          <m:t>⟩</m:t>
        </m:r>
        <m:r>
          <m:rPr>
            <m:sty m:val="p"/>
          </m:rPr>
          <m:t>,</m:t>
        </m:r>
        <m:r>
          <m:rPr>
            <m:sty m:val="p"/>
          </m:rPr>
          <m:t>∣</m:t>
        </m:r>
        <m:r>
          <m:t>10</m:t>
        </m:r>
        <m:r>
          <m:rPr>
            <m:sty m:val="p"/>
          </m:rPr>
          <m:t>⟩</m:t>
        </m:r>
      </m:oMath>
      <w:r>
        <w:t xml:space="preserve">, giving one. The span discrepancy is zero in both cases. This is an access counterexample, not creation or destruction of information by a passive representation change.</w:t>
      </w:r>
    </w:p>
    <w:p>
      <w:pPr>
        <w:pStyle w:val="BodyText"/>
      </w:pPr>
      <w:r>
        <w:rPr>
          <w:b/>
          <w:bCs/>
        </w:rPr>
        <w:t xml:space="preserve">Access equivalence from an existing theorem.</w:t>
      </w:r>
      <w:r>
        <w:t xml:space="preserve"> </w:t>
      </w:r>
      <w:r>
        <w:t xml:space="preserve">Define</w:t>
      </w:r>
    </w:p>
    <w:p>
      <w:pPr>
        <w:pStyle w:val="BodyText"/>
      </w:pPr>
      <m:oMathPara>
        <m:oMathParaPr>
          <m:jc m:val="center"/>
        </m:oMathParaPr>
        <m:oMath>
          <m:r>
            <m:rPr>
              <m:sty m:val="p"/>
              <m:scr m:val="script"/>
            </m:rPr>
            <m:t>W</m:t>
          </m:r>
          <m:r>
            <m:rPr>
              <m:sty m:val="p"/>
            </m:rPr>
            <m:t>=</m:t>
          </m:r>
          <m:r>
            <m:rPr>
              <m:sty m:val="p"/>
              <m:nor m:val="1"/>
            </m:rPr>
            <w:rPr>
              <w:i w:val="0"/>
            </w:rPr>
            <m:t>span</m:t>
          </m:r>
          <m:r>
            <m:rPr>
              <m:sty m:val="p"/>
            </m:rPr>
            <m:t>{</m:t>
          </m:r>
          <m:r>
            <m:t>I</m:t>
          </m:r>
          <m:r>
            <m:rPr>
              <m:sty m:val="p"/>
            </m:rPr>
            <m:t>}</m:t>
          </m:r>
          <m:r>
            <m:rPr>
              <m:sty m:val="p"/>
            </m:rPr>
            <m:t>+</m:t>
          </m:r>
          <m:nary>
            <m:naryPr>
              <m:chr m:val="∑"/>
              <m:limLoc m:val="undOvr"/>
              <m:subHide m:val="off"/>
              <m:supHide m:val="on"/>
            </m:naryPr>
            <m:sub>
              <m:r>
                <m:t>j</m:t>
              </m:r>
            </m:sub>
            <m:sup>
              <m:r>
                <m:t>​</m:t>
              </m:r>
            </m:sup>
            <m:e>
              <m:sSub>
                <m:e>
                  <m:r>
                    <m:rPr>
                      <m:sty m:val="p"/>
                      <m:scr m:val="script"/>
                    </m:rPr>
                    <m:t>B</m:t>
                  </m:r>
                </m:e>
                <m:sub>
                  <m:r>
                    <m:t>0</m:t>
                  </m:r>
                </m:sub>
              </m:sSub>
            </m:e>
          </m:nary>
          <m:r>
            <m:rPr>
              <m:sty m:val="p"/>
            </m:rPr>
            <m:t>(</m:t>
          </m:r>
          <m:sSub>
            <m:e>
              <m:r>
                <m:rPr>
                  <m:sty m:val="p"/>
                  <m:scr m:val="script"/>
                </m:rPr>
                <m:t>H</m:t>
              </m:r>
            </m:e>
            <m:sub>
              <m:r>
                <m:t>j</m:t>
              </m:r>
            </m:sub>
          </m:sSub>
          <m:r>
            <m:rPr>
              <m:sty m:val="p"/>
            </m:rPr>
            <m:t>)</m:t>
          </m:r>
          <m:r>
            <m:rPr>
              <m:sty m:val="p"/>
            </m:rPr>
            <m:t>,</m:t>
          </m:r>
          <m:r>
            <m:t>  </m:t>
          </m:r>
          <m:sSub>
            <m:e>
              <m:r>
                <m:t>r</m:t>
              </m:r>
            </m:e>
            <m:sub>
              <m:r>
                <m:t>1</m:t>
              </m:r>
            </m:sub>
          </m:sSub>
          <m:r>
            <m:rPr>
              <m:sty m:val="p"/>
            </m:rPr>
            <m:t>=</m:t>
          </m:r>
          <m:nary>
            <m:naryPr>
              <m:chr m:val="∑"/>
              <m:limLoc m:val="undOvr"/>
              <m:subHide m:val="off"/>
              <m:supHide m:val="on"/>
            </m:naryPr>
            <m:sub>
              <m:r>
                <m:t>j</m:t>
              </m:r>
            </m:sub>
            <m:sup>
              <m:r>
                <m:t>​</m:t>
              </m:r>
            </m:sup>
            <m:e>
              <m:r>
                <m:rPr>
                  <m:sty m:val="p"/>
                </m:rPr>
                <m:t>(</m:t>
              </m:r>
              <m:sSubSup>
                <m:e>
                  <m:r>
                    <m:t>q</m:t>
                  </m:r>
                </m:e>
                <m:sub>
                  <m:r>
                    <m:rPr>
                      <m:sty m:val="p"/>
                    </m:rPr>
                    <m:t>s</m:t>
                  </m:r>
                  <m:r>
                    <m:rPr>
                      <m:sty m:val="p"/>
                    </m:rPr>
                    <m:t>i</m:t>
                  </m:r>
                  <m:r>
                    <m:rPr>
                      <m:sty m:val="p"/>
                    </m:rPr>
                    <m:t>t</m:t>
                  </m:r>
                  <m:r>
                    <m:rPr>
                      <m:sty m:val="p"/>
                    </m:rPr>
                    <m:t>e</m:t>
                  </m:r>
                  <m:r>
                    <m:rPr>
                      <m:sty m:val="p"/>
                    </m:rPr>
                    <m:t>,</m:t>
                  </m:r>
                  <m:r>
                    <m:t>j</m:t>
                  </m:r>
                </m:sub>
                <m:sup>
                  <m:r>
                    <m:t>2</m:t>
                  </m:r>
                </m:sup>
              </m:sSubSup>
              <m:r>
                <m:rPr>
                  <m:sty m:val="p"/>
                </m:rPr>
                <m:t>−</m:t>
              </m:r>
              <m:r>
                <m:t>1</m:t>
              </m:r>
              <m:r>
                <m:rPr>
                  <m:sty m:val="p"/>
                </m:rPr>
                <m:t>)</m:t>
              </m:r>
            </m:e>
          </m:nary>
          <m:r>
            <m:rPr>
              <m:sty m:val="p"/>
            </m:rPr>
            <m:t>,</m:t>
          </m:r>
        </m:oMath>
      </m:oMathPara>
    </w:p>
    <w:p>
      <w:pPr>
        <w:pStyle w:val="FirstParagraph"/>
      </w:pPr>
      <w:r>
        <w:t xml:space="preserve">where site algebras are embedded in the full system and</w:t>
      </w:r>
      <w:r>
        <w:t xml:space="preserve"> </w:t>
      </w:r>
      <m:oMath>
        <m:sSub>
          <m:e>
            <m:r>
              <m:rPr>
                <m:sty m:val="p"/>
                <m:scr m:val="script"/>
              </m:rPr>
              <m:t>B</m:t>
            </m:r>
          </m:e>
          <m:sub>
            <m:r>
              <m:t>0</m:t>
            </m:r>
          </m:sub>
        </m:sSub>
      </m:oMath>
      <w:r>
        <w:t xml:space="preserve"> </w:t>
      </w:r>
      <w:r>
        <w:t xml:space="preserve">denotes their traceless parts. If</w:t>
      </w:r>
      <w:r>
        <w:t xml:space="preserve"> </w:t>
      </w:r>
      <m:oMath>
        <m:sSub>
          <m:e>
            <m:r>
              <m:t>P</m:t>
            </m:r>
          </m:e>
          <m:sub>
            <m:r>
              <m:t>V</m:t>
            </m:r>
          </m:sub>
        </m:sSub>
      </m:oMath>
      <w:r>
        <w:t xml:space="preserve"> </w:t>
      </w:r>
      <w:r>
        <w:t xml:space="preserve">projects onto</w:t>
      </w:r>
      <w:r>
        <w:t xml:space="preserve"> </w:t>
      </w:r>
      <m:oMath>
        <m:r>
          <m:t>V</m:t>
        </m:r>
        <m:r>
          <m:rPr>
            <m:sty m:val="p"/>
            <m:scr m:val="script"/>
          </m:rPr>
          <m:t>W</m:t>
        </m:r>
        <m:sSup>
          <m:e>
            <m:r>
              <m:t>V</m:t>
            </m:r>
          </m:e>
          <m:sup>
            <m:r>
              <m:rPr>
                <m:sty m:val="p"/>
              </m:rPr>
              <m:t>†</m:t>
            </m:r>
          </m:sup>
        </m:sSup>
      </m:oMath>
      <w:r>
        <w:t xml:space="preserve">, the Andreadakis-Zanardi squared TPS discrepancy is</w:t>
      </w:r>
    </w:p>
    <w:p>
      <w:pPr>
        <w:pStyle w:val="BodyText"/>
      </w:pPr>
      <m:oMathPara>
        <m:oMathParaPr>
          <m:jc m:val="center"/>
        </m:oMathParaPr>
        <m:oMath>
          <m:r>
            <m:t>Φ</m:t>
          </m:r>
          <m:r>
            <m:rPr>
              <m:sty m:val="p"/>
            </m:rPr>
            <m:t>(</m:t>
          </m:r>
          <m:r>
            <m:t>V</m:t>
          </m:r>
          <m:r>
            <m:rPr>
              <m:sty m:val="p"/>
            </m:rPr>
            <m:t>,</m:t>
          </m:r>
          <m:r>
            <m:t>W</m:t>
          </m:r>
          <m:r>
            <m:rPr>
              <m:sty m:val="p"/>
            </m:rPr>
            <m:t>)</m:t>
          </m:r>
          <m:r>
            <m:rPr>
              <m:sty m:val="p"/>
            </m:rPr>
            <m:t>=</m:t>
          </m:r>
          <m:f>
            <m:fPr>
              <m:type m:val="bar"/>
            </m:fPr>
            <m:num>
              <m:r>
                <m:rPr>
                  <m:sty m:val="p"/>
                </m:rPr>
                <m:t>∥</m:t>
              </m:r>
              <m:sSub>
                <m:e>
                  <m:r>
                    <m:t>P</m:t>
                  </m:r>
                </m:e>
                <m:sub>
                  <m:r>
                    <m:t>V</m:t>
                  </m:r>
                </m:sub>
              </m:sSub>
              <m:r>
                <m:rPr>
                  <m:sty m:val="p"/>
                </m:rPr>
                <m:t>−</m:t>
              </m:r>
              <m:sSub>
                <m:e>
                  <m:r>
                    <m:t>P</m:t>
                  </m:r>
                </m:e>
                <m:sub>
                  <m:r>
                    <m:t>W</m:t>
                  </m:r>
                </m:sub>
              </m:sSub>
              <m:sSubSup>
                <m:e>
                  <m:r>
                    <m:rPr>
                      <m:sty m:val="p"/>
                    </m:rPr>
                    <m:t>∥</m:t>
                  </m:r>
                </m:e>
                <m:sub>
                  <m:r>
                    <m:rPr>
                      <m:sty m:val="p"/>
                    </m:rPr>
                    <m:t>H</m:t>
                  </m:r>
                  <m:r>
                    <m:rPr>
                      <m:sty m:val="p"/>
                    </m:rPr>
                    <m:t>S</m:t>
                  </m:r>
                </m:sub>
                <m:sup>
                  <m:r>
                    <m:t>2</m:t>
                  </m:r>
                </m:sup>
              </m:sSubSup>
            </m:num>
            <m:den>
              <m:r>
                <m:t>2</m:t>
              </m:r>
              <m:sSub>
                <m:e>
                  <m:r>
                    <m:t>r</m:t>
                  </m:r>
                </m:e>
                <m:sub>
                  <m:r>
                    <m:t>1</m:t>
                  </m:r>
                </m:sub>
              </m:sSub>
            </m:den>
          </m:f>
          <m:r>
            <m:rPr>
              <m:sty m:val="p"/>
            </m:rPr>
            <m:t>.</m:t>
          </m:r>
        </m:oMath>
      </m:oMathPara>
    </w:p>
    <w:p>
      <w:pPr>
        <w:pStyle w:val="FirstParagraph"/>
      </w:pPr>
      <w:r>
        <w:t xml:space="preserve">Their Eq. 14 proves that</w:t>
      </w:r>
      <w:r>
        <w:t xml:space="preserve"> </w:t>
      </w:r>
      <m:oMath>
        <m:r>
          <m:t>Φ</m:t>
        </m:r>
        <m:r>
          <m:rPr>
            <m:sty m:val="p"/>
          </m:rPr>
          <m:t>=</m:t>
        </m:r>
        <m:r>
          <m:t>0</m:t>
        </m:r>
      </m:oMath>
      <w:r>
        <w:t xml:space="preserve"> </w:t>
      </w:r>
      <w:r>
        <w:t xml:space="preserve">precisely for a relative unitary consisting of local unitaries and permutations of equal-dimensional sites. The square root of</w:t>
      </w:r>
      <w:r>
        <w:t xml:space="preserve"> </w:t>
      </w:r>
      <m:oMath>
        <m:r>
          <m:t>Φ</m:t>
        </m:r>
      </m:oMath>
      <w:r>
        <w:t xml:space="preserve"> </w:t>
      </w:r>
      <w:r>
        <w:t xml:space="preserve">is the associated projector distance;</w:t>
      </w:r>
      <w:r>
        <w:t xml:space="preserve"> </w:t>
      </w:r>
      <m:oMath>
        <m:r>
          <m:t>Φ</m:t>
        </m:r>
      </m:oMath>
      <w:r>
        <w:t xml:space="preserve"> </w:t>
      </w:r>
      <w:r>
        <w:t xml:space="preserve">itself is a squared distance and need not satisfy the triangle inequality. The distinction is terminological, not a criticism of their convention. For two-qubit identity versus controlled-NOT,</w:t>
      </w:r>
      <w:r>
        <w:t xml:space="preserve"> </w:t>
      </w:r>
      <m:oMath>
        <m:sSub>
          <m:e>
            <m:r>
              <m:t>δ</m:t>
            </m:r>
          </m:e>
          <m:sub>
            <m:r>
              <m:t>1</m:t>
            </m:r>
          </m:sub>
        </m:sSub>
        <m:r>
          <m:rPr>
            <m:sty m:val="p"/>
          </m:rPr>
          <m:t>=</m:t>
        </m:r>
        <m:r>
          <m:t>4</m:t>
        </m:r>
        <m:r>
          <m:rPr>
            <m:sty m:val="p"/>
          </m:rPr>
          <m:t>/</m:t>
        </m:r>
        <m:r>
          <m:t>7</m:t>
        </m:r>
      </m:oMath>
      <w:r>
        <w:t xml:space="preserve"> </w:t>
      </w:r>
      <w:r>
        <w:t xml:space="preserve">when the identity is included in the rank, while</w:t>
      </w:r>
      <w:r>
        <w:t xml:space="preserve"> </w:t>
      </w:r>
      <m:oMath>
        <m:r>
          <m:t>Φ</m:t>
        </m:r>
        <m:r>
          <m:rPr>
            <m:sty m:val="p"/>
          </m:rPr>
          <m:t>=</m:t>
        </m:r>
        <m:r>
          <m:t>2</m:t>
        </m:r>
        <m:r>
          <m:rPr>
            <m:sty m:val="p"/>
          </m:rPr>
          <m:t>/</m:t>
        </m:r>
        <m:r>
          <m:t>3</m:t>
        </m:r>
      </m:oMath>
      <w:r>
        <w:t xml:space="preserve">. SWAP has</w:t>
      </w:r>
      <w:r>
        <w:t xml:space="preserve"> </w:t>
      </w:r>
      <m:oMath>
        <m:r>
          <m:t>Φ</m:t>
        </m:r>
        <m:r>
          <m:rPr>
            <m:sty m:val="p"/>
          </m:rPr>
          <m:t>=</m:t>
        </m:r>
        <m:r>
          <m:t>0</m:t>
        </m:r>
      </m:oMath>
      <w:r>
        <w:t xml:space="preserve"> </w:t>
      </w:r>
      <w:r>
        <w:t xml:space="preserve">for unlabelled sites. These normalization differences must not be mixed.</w:t>
      </w:r>
    </w:p>
    <w:p>
      <w:pPr>
        <w:pStyle w:val="BodyText"/>
      </w:pPr>
      <w:r>
        <w:t xml:space="preserve">This closes the ordinary unlabelled singleton TPS test. It does not replace the full contract when sites have different access costs, graph roles or restricted decoder sets. A site-permuting unitary can have zero</w:t>
      </w:r>
      <w:r>
        <w:t xml:space="preserve"> </w:t>
      </w:r>
      <m:oMath>
        <m:r>
          <m:t>Φ</m:t>
        </m:r>
      </m:oMath>
      <w:r>
        <w:t xml:space="preserve"> </w:t>
      </w:r>
      <w:r>
        <w:t xml:space="preserve">while violating those labels. In that case retain the tuple of individual fragment-algebra projectors, minimizing only over permitted permutations, together with the locality and access metadata. Small nonzero</w:t>
      </w:r>
      <w:r>
        <w:t xml:space="preserve"> </w:t>
      </w:r>
      <m:oMath>
        <m:r>
          <m:t>Φ</m:t>
        </m:r>
      </m:oMath>
      <w:r>
        <w:t xml:space="preserve"> </w:t>
      </w:r>
      <w:r>
        <w:t xml:space="preserve">is not an exact equivalence relation.</w:t>
      </w:r>
    </w:p>
    <w:bookmarkEnd w:id="33"/>
    <w:bookmarkEnd w:id="34"/>
    <w:bookmarkStart w:id="36" w:name="structural-lemmas-for-the-locality-score"/>
    <w:p>
      <w:pPr>
        <w:pStyle w:val="Heading1"/>
      </w:pPr>
      <w:r>
        <w:t xml:space="preserve">3. Structural lemmas for the locality score</w:t>
      </w:r>
    </w:p>
    <w:p>
      <w:pPr>
        <w:pStyle w:val="FirstParagraph"/>
      </w:pPr>
      <w:r>
        <w:rPr>
          <w:b/>
          <w:bCs/>
        </w:rPr>
        <w:t xml:space="preserve">Lemma 1 (boundedness and equivalent conventions).</w:t>
      </w:r>
      <w:r>
        <w:t xml:space="preserve"> </w:t>
      </w:r>
      <w:r>
        <w:t xml:space="preserve">The centered score (2) lies in</w:t>
      </w:r>
      <w:r>
        <w:t xml:space="preserve"> </w:t>
      </w:r>
      <m:oMath>
        <m:r>
          <m:rPr>
            <m:sty m:val="p"/>
          </m:rPr>
          <m:t>[</m:t>
        </m:r>
        <m:r>
          <m:t>0</m:t>
        </m:r>
        <m:r>
          <m:rPr>
            <m:sty m:val="p"/>
          </m:rPr>
          <m:t>,</m:t>
        </m:r>
        <m:r>
          <m:t>1</m:t>
        </m:r>
        <m:r>
          <m:rPr>
            <m:sty m:val="p"/>
          </m:rPr>
          <m:t>]</m:t>
        </m:r>
      </m:oMath>
      <w:r>
        <w:t xml:space="preserve">. For an arbitrary orthogonal operator-space projection,</w:t>
      </w:r>
      <w:r>
        <w:t xml:space="preserve"> </w:t>
      </w:r>
      <m:oMath>
        <m:r>
          <m:t>0</m:t>
        </m:r>
        <m:r>
          <m:rPr>
            <m:sty m:val="p"/>
          </m:rPr>
          <m:t>≤</m:t>
        </m:r>
        <m:sSubSup>
          <m:e>
            <m:r>
              <m:t>L</m:t>
            </m:r>
          </m:e>
          <m:sub>
            <m:r>
              <m:t>S</m:t>
            </m:r>
          </m:sub>
          <m:sup>
            <m:r>
              <m:rPr>
                <m:sty m:val="p"/>
              </m:rPr>
              <m:t>r</m:t>
            </m:r>
            <m:r>
              <m:rPr>
                <m:sty m:val="p"/>
              </m:rPr>
              <m:t>a</m:t>
            </m:r>
            <m:r>
              <m:rPr>
                <m:sty m:val="p"/>
              </m:rPr>
              <m:t>w</m:t>
            </m:r>
          </m:sup>
        </m:sSubSup>
        <m:r>
          <m:rPr>
            <m:sty m:val="p"/>
          </m:rPr>
          <m:t>(</m:t>
        </m:r>
        <m:r>
          <m:t>H</m:t>
        </m:r>
        <m:r>
          <m:rPr>
            <m:sty m:val="p"/>
          </m:rPr>
          <m:t>)</m:t>
        </m:r>
        <m:r>
          <m:rPr>
            <m:sty m:val="p"/>
          </m:rPr>
          <m:t>≤</m:t>
        </m:r>
        <m:r>
          <m:t>1</m:t>
        </m:r>
      </m:oMath>
      <w:r>
        <w:t xml:space="preserve"> </w:t>
      </w:r>
      <w:r>
        <w:t xml:space="preserve">for every non-scalar Hermitian</w:t>
      </w:r>
      <w:r>
        <w:t xml:space="preserve"> </w:t>
      </w:r>
      <m:oMath>
        <m:r>
          <m:t>H</m:t>
        </m:r>
      </m:oMath>
      <w:r>
        <w:t xml:space="preserve"> </w:t>
      </w:r>
      <w:r>
        <w:t xml:space="preserve">if and only if</w:t>
      </w:r>
      <w:r>
        <w:t xml:space="preserve"> </w:t>
      </w:r>
      <m:oMath>
        <m:r>
          <m:t>I</m:t>
        </m:r>
        <m:r>
          <m:rPr>
            <m:sty m:val="p"/>
          </m:rPr>
          <m:t>∈</m:t>
        </m:r>
        <m:r>
          <m:t>S</m:t>
        </m:r>
      </m:oMath>
      <w:r>
        <w:t xml:space="preserve">. In the latter case the raw and centered scores agree and</w:t>
      </w:r>
    </w:p>
    <w:p>
      <w:pPr>
        <w:pStyle w:val="BodyText"/>
      </w:pPr>
      <m:oMathPara>
        <m:oMathParaPr>
          <m:jc m:val="center"/>
        </m:oMathParaPr>
        <m:oMath>
          <m:sSub>
            <m:e>
              <m:r>
                <m:t>L</m:t>
              </m:r>
            </m:e>
            <m:sub>
              <m:r>
                <m:t>S</m:t>
              </m:r>
            </m:sub>
          </m:sSub>
          <m:r>
            <m:rPr>
              <m:sty m:val="p"/>
            </m:rPr>
            <m:t>(</m:t>
          </m:r>
          <m:r>
            <m:t>H</m:t>
          </m:r>
          <m:r>
            <m:rPr>
              <m:sty m:val="p"/>
            </m:rPr>
            <m:t>)</m:t>
          </m:r>
          <m:r>
            <m:rPr>
              <m:sty m:val="p"/>
            </m:rPr>
            <m:t>=</m:t>
          </m:r>
          <m:r>
            <m:t>1</m:t>
          </m:r>
          <m:r>
            <m:rPr>
              <m:sty m:val="p"/>
            </m:rPr>
            <m:t>−</m:t>
          </m:r>
          <m:f>
            <m:fPr>
              <m:type m:val="bar"/>
            </m:fPr>
            <m:num>
              <m:r>
                <m:rPr>
                  <m:sty m:val="p"/>
                </m:rPr>
                <m:t>∥</m:t>
              </m:r>
              <m:sSub>
                <m:e>
                  <m:r>
                    <m:t>Π</m:t>
                  </m:r>
                </m:e>
                <m:sub>
                  <m:r>
                    <m:t>S</m:t>
                  </m:r>
                </m:sub>
              </m:sSub>
              <m:r>
                <m:rPr>
                  <m:sty m:val="p"/>
                </m:rPr>
                <m:t>(</m:t>
              </m:r>
              <m:sSub>
                <m:e>
                  <m:r>
                    <m:t>H</m:t>
                  </m:r>
                </m:e>
                <m:sub>
                  <m:r>
                    <m:t>0</m:t>
                  </m:r>
                </m:sub>
              </m:sSub>
              <m:r>
                <m:rPr>
                  <m:sty m:val="p"/>
                </m:rPr>
                <m:t>)</m:t>
              </m:r>
              <m:sSubSup>
                <m:e>
                  <m:r>
                    <m:rPr>
                      <m:sty m:val="p"/>
                    </m:rPr>
                    <m:t>∥</m:t>
                  </m:r>
                </m:e>
                <m:sub>
                  <m:r>
                    <m:t>2</m:t>
                  </m:r>
                </m:sub>
                <m:sup>
                  <m:r>
                    <m:t>2</m:t>
                  </m:r>
                </m:sup>
              </m:sSubSup>
            </m:num>
            <m:den>
              <m:r>
                <m:rPr>
                  <m:sty m:val="p"/>
                </m:rPr>
                <m:t>∥</m:t>
              </m:r>
              <m:sSub>
                <m:e>
                  <m:r>
                    <m:t>H</m:t>
                  </m:r>
                </m:e>
                <m:sub>
                  <m:r>
                    <m:t>0</m:t>
                  </m:r>
                </m:sub>
              </m:sSub>
              <m:sSubSup>
                <m:e>
                  <m:r>
                    <m:rPr>
                      <m:sty m:val="p"/>
                    </m:rPr>
                    <m:t>∥</m:t>
                  </m:r>
                </m:e>
                <m:sub>
                  <m:r>
                    <m:t>2</m:t>
                  </m:r>
                </m:sub>
                <m:sup>
                  <m:r>
                    <m:t>2</m:t>
                  </m:r>
                </m:sup>
              </m:sSubSup>
            </m:den>
          </m:f>
          <m:r>
            <m:rPr>
              <m:sty m:val="p"/>
            </m:rPr>
            <m:t>.</m:t>
          </m:r>
          <m:r>
            <m:t>  </m:t>
          </m:r>
          <m:r>
            <m:rPr>
              <m:sty m:val="p"/>
            </m:rPr>
            <m:t>(</m:t>
          </m:r>
          <m:r>
            <m:t>4</m:t>
          </m:r>
          <m:r>
            <m:rPr>
              <m:sty m:val="p"/>
            </m:rPr>
            <m:t>)</m:t>
          </m:r>
        </m:oMath>
      </m:oMathPara>
    </w:p>
    <w:p>
      <w:pPr>
        <w:pStyle w:val="FirstParagraph"/>
      </w:pPr>
      <w:r>
        <w:rPr>
          <w:i/>
          <w:iCs/>
        </w:rPr>
        <w:t xml:space="preserve">Proof.</w:t>
      </w:r>
      <w:r>
        <w:t xml:space="preserve"> </w:t>
      </w:r>
      <w:r>
        <w:t xml:space="preserve">Suppose</w:t>
      </w:r>
      <w:r>
        <w:t xml:space="preserve"> </w:t>
      </w:r>
      <m:oMath>
        <m:r>
          <m:t>I</m:t>
        </m:r>
        <m:r>
          <m:rPr>
            <m:sty m:val="p"/>
          </m:rPr>
          <m:t>∈</m:t>
        </m:r>
        <m:r>
          <m:t>S</m:t>
        </m:r>
      </m:oMath>
      <w:r>
        <w:t xml:space="preserve"> </w:t>
      </w:r>
      <w:r>
        <w:t xml:space="preserve">and write</w:t>
      </w:r>
      <w:r>
        <w:t xml:space="preserve"> </w:t>
      </w:r>
      <m:oMath>
        <m:r>
          <m:t>H</m:t>
        </m:r>
        <m:r>
          <m:rPr>
            <m:sty m:val="p"/>
          </m:rPr>
          <m:t>=</m:t>
        </m:r>
        <m:r>
          <m:t>c</m:t>
        </m:r>
        <m:r>
          <m:t>I</m:t>
        </m:r>
        <m:r>
          <m:rPr>
            <m:sty m:val="p"/>
          </m:rPr>
          <m:t>+</m:t>
        </m:r>
        <m:sSub>
          <m:e>
            <m:r>
              <m:t>H</m:t>
            </m:r>
          </m:e>
          <m:sub>
            <m:r>
              <m:t>0</m:t>
            </m:r>
          </m:sub>
        </m:sSub>
      </m:oMath>
      <w:r>
        <w:t xml:space="preserve">. Then</w:t>
      </w:r>
      <w:r>
        <w:t xml:space="preserve"> </w:t>
      </w:r>
      <m:oMath>
        <m:sSub>
          <m:e>
            <m:r>
              <m:t>Π</m:t>
            </m:r>
          </m:e>
          <m:sub>
            <m:r>
              <m:t>S</m:t>
            </m:r>
          </m:sub>
        </m:sSub>
        <m:r>
          <m:rPr>
            <m:sty m:val="p"/>
          </m:rPr>
          <m:t>(</m:t>
        </m:r>
        <m:r>
          <m:t>H</m:t>
        </m:r>
        <m:r>
          <m:rPr>
            <m:sty m:val="p"/>
          </m:rPr>
          <m:t>)</m:t>
        </m:r>
        <m:r>
          <m:rPr>
            <m:sty m:val="p"/>
          </m:rPr>
          <m:t>=</m:t>
        </m:r>
        <m:r>
          <m:t>c</m:t>
        </m:r>
        <m:r>
          <m:t>I</m:t>
        </m:r>
        <m:r>
          <m:rPr>
            <m:sty m:val="p"/>
          </m:rPr>
          <m:t>+</m:t>
        </m:r>
        <m:sSub>
          <m:e>
            <m:r>
              <m:t>Π</m:t>
            </m:r>
          </m:e>
          <m:sub>
            <m:r>
              <m:t>S</m:t>
            </m:r>
          </m:sub>
        </m:sSub>
        <m:r>
          <m:rPr>
            <m:sty m:val="p"/>
          </m:rPr>
          <m:t>(</m:t>
        </m:r>
        <m:sSub>
          <m:e>
            <m:r>
              <m:t>H</m:t>
            </m:r>
          </m:e>
          <m:sub>
            <m:r>
              <m:t>0</m:t>
            </m:r>
          </m:sub>
        </m:sSub>
        <m:r>
          <m:rPr>
            <m:sty m:val="p"/>
          </m:rPr>
          <m:t>)</m:t>
        </m:r>
      </m:oMath>
      <w:r>
        <w:t xml:space="preserve">, so</w:t>
      </w:r>
      <w:r>
        <w:t xml:space="preserve"> </w:t>
      </w:r>
      <m:oMath>
        <m:r>
          <m:t>H</m:t>
        </m:r>
        <m:r>
          <m:rPr>
            <m:sty m:val="p"/>
          </m:rPr>
          <m:t>−</m:t>
        </m:r>
        <m:sSub>
          <m:e>
            <m:r>
              <m:t>Π</m:t>
            </m:r>
          </m:e>
          <m:sub>
            <m:r>
              <m:t>S</m:t>
            </m:r>
          </m:sub>
        </m:sSub>
        <m:r>
          <m:rPr>
            <m:sty m:val="p"/>
          </m:rPr>
          <m:t>(</m:t>
        </m:r>
        <m:r>
          <m:t>H</m:t>
        </m:r>
        <m:r>
          <m:rPr>
            <m:sty m:val="p"/>
          </m:rPr>
          <m:t>)</m:t>
        </m:r>
        <m:r>
          <m:rPr>
            <m:sty m:val="p"/>
          </m:rPr>
          <m:t>=</m:t>
        </m:r>
        <m:sSub>
          <m:e>
            <m:r>
              <m:t>H</m:t>
            </m:r>
          </m:e>
          <m:sub>
            <m:r>
              <m:t>0</m:t>
            </m:r>
          </m:sub>
        </m:sSub>
        <m:r>
          <m:rPr>
            <m:sty m:val="p"/>
          </m:rPr>
          <m:t>−</m:t>
        </m:r>
        <m:sSub>
          <m:e>
            <m:r>
              <m:t>Π</m:t>
            </m:r>
          </m:e>
          <m:sub>
            <m:r>
              <m:t>S</m:t>
            </m:r>
          </m:sub>
        </m:sSub>
        <m:r>
          <m:rPr>
            <m:sty m:val="p"/>
          </m:rPr>
          <m:t>(</m:t>
        </m:r>
        <m:sSub>
          <m:e>
            <m:r>
              <m:t>H</m:t>
            </m:r>
          </m:e>
          <m:sub>
            <m:r>
              <m:t>0</m:t>
            </m:r>
          </m:sub>
        </m:sSub>
        <m:r>
          <m:rPr>
            <m:sty m:val="p"/>
          </m:rPr>
          <m:t>)</m:t>
        </m:r>
      </m:oMath>
      <w:r>
        <w:t xml:space="preserve">. Since</w:t>
      </w:r>
      <w:r>
        <w:t xml:space="preserve"> </w:t>
      </w:r>
      <m:oMath>
        <m:sSub>
          <m:e>
            <m:r>
              <m:t>Π</m:t>
            </m:r>
          </m:e>
          <m:sub>
            <m:r>
              <m:t>S</m:t>
            </m:r>
          </m:sub>
        </m:sSub>
      </m:oMath>
      <w:r>
        <w:t xml:space="preserve"> </w:t>
      </w:r>
      <w:r>
        <w:t xml:space="preserve">is an orthogonal projector,</w:t>
      </w:r>
      <w:r>
        <w:t xml:space="preserve"> </w:t>
      </w:r>
      <m:oMath>
        <m:r>
          <m:rPr>
            <m:sty m:val="p"/>
          </m:rPr>
          <m:t>∥</m:t>
        </m:r>
        <m:sSub>
          <m:e>
            <m:r>
              <m:t>H</m:t>
            </m:r>
          </m:e>
          <m:sub>
            <m:r>
              <m:t>0</m:t>
            </m:r>
          </m:sub>
        </m:sSub>
        <m:r>
          <m:rPr>
            <m:sty m:val="p"/>
          </m:rPr>
          <m:t>−</m:t>
        </m:r>
        <m:sSub>
          <m:e>
            <m:r>
              <m:t>Π</m:t>
            </m:r>
          </m:e>
          <m:sub>
            <m:r>
              <m:t>S</m:t>
            </m:r>
          </m:sub>
        </m:sSub>
        <m:sSub>
          <m:e>
            <m:r>
              <m:t>H</m:t>
            </m:r>
          </m:e>
          <m:sub>
            <m:r>
              <m:t>0</m:t>
            </m:r>
          </m:sub>
        </m:sSub>
        <m:sSubSup>
          <m:e>
            <m:r>
              <m:rPr>
                <m:sty m:val="p"/>
              </m:rPr>
              <m:t>∥</m:t>
            </m:r>
          </m:e>
          <m:sub>
            <m:r>
              <m:t>2</m:t>
            </m:r>
          </m:sub>
          <m:sup>
            <m:r>
              <m:t>2</m:t>
            </m:r>
          </m:sup>
        </m:sSubSup>
        <m:r>
          <m:rPr>
            <m:sty m:val="p"/>
          </m:rPr>
          <m:t>=</m:t>
        </m:r>
        <m:r>
          <m:rPr>
            <m:sty m:val="p"/>
          </m:rPr>
          <m:t>∥</m:t>
        </m:r>
        <m:sSub>
          <m:e>
            <m:r>
              <m:t>H</m:t>
            </m:r>
          </m:e>
          <m:sub>
            <m:r>
              <m:t>0</m:t>
            </m:r>
          </m:sub>
        </m:sSub>
        <m:sSubSup>
          <m:e>
            <m:r>
              <m:rPr>
                <m:sty m:val="p"/>
              </m:rPr>
              <m:t>∥</m:t>
            </m:r>
          </m:e>
          <m:sub>
            <m:r>
              <m:t>2</m:t>
            </m:r>
          </m:sub>
          <m:sup>
            <m:r>
              <m:t>2</m:t>
            </m:r>
          </m:sup>
        </m:sSubSup>
        <m:r>
          <m:rPr>
            <m:sty m:val="p"/>
          </m:rPr>
          <m:t>−</m:t>
        </m:r>
        <m:r>
          <m:rPr>
            <m:sty m:val="p"/>
          </m:rPr>
          <m:t>∥</m:t>
        </m:r>
        <m:sSub>
          <m:e>
            <m:r>
              <m:t>Π</m:t>
            </m:r>
          </m:e>
          <m:sub>
            <m:r>
              <m:t>S</m:t>
            </m:r>
          </m:sub>
        </m:sSub>
        <m:sSub>
          <m:e>
            <m:r>
              <m:t>H</m:t>
            </m:r>
          </m:e>
          <m:sub>
            <m:r>
              <m:t>0</m:t>
            </m:r>
          </m:sub>
        </m:sSub>
        <m:sSubSup>
          <m:e>
            <m:r>
              <m:rPr>
                <m:sty m:val="p"/>
              </m:rPr>
              <m:t>∥</m:t>
            </m:r>
          </m:e>
          <m:sub>
            <m:r>
              <m:t>2</m:t>
            </m:r>
          </m:sub>
          <m:sup>
            <m:r>
              <m:t>2</m:t>
            </m:r>
          </m:sup>
        </m:sSubSup>
        <m:r>
          <m:rPr>
            <m:sty m:val="p"/>
          </m:rPr>
          <m:t>∈</m:t>
        </m:r>
        <m:r>
          <m:rPr>
            <m:sty m:val="p"/>
          </m:rPr>
          <m:t>[</m:t>
        </m:r>
        <m:r>
          <m:t>0</m:t>
        </m:r>
        <m:r>
          <m:rPr>
            <m:sty m:val="p"/>
          </m:rPr>
          <m:t>,</m:t>
        </m:r>
        <m:r>
          <m:rPr>
            <m:sty m:val="p"/>
          </m:rPr>
          <m:t>∥</m:t>
        </m:r>
        <m:sSub>
          <m:e>
            <m:r>
              <m:t>H</m:t>
            </m:r>
          </m:e>
          <m:sub>
            <m:r>
              <m:t>0</m:t>
            </m:r>
          </m:sub>
        </m:sSub>
        <m:sSubSup>
          <m:e>
            <m:r>
              <m:rPr>
                <m:sty m:val="p"/>
              </m:rPr>
              <m:t>∥</m:t>
            </m:r>
          </m:e>
          <m:sub>
            <m:r>
              <m:t>2</m:t>
            </m:r>
          </m:sub>
          <m:sup>
            <m:r>
              <m:t>2</m:t>
            </m:r>
          </m:sup>
        </m:sSubSup>
        <m:r>
          <m:rPr>
            <m:sty m:val="p"/>
          </m:rPr>
          <m:t>]</m:t>
        </m:r>
      </m:oMath>
      <w:r>
        <w:t xml:space="preserve">, which gives (4) and the bound. Conversely, suppose</w:t>
      </w:r>
      <w:r>
        <w:t xml:space="preserve"> </w:t>
      </w:r>
      <m:oMath>
        <m:r>
          <m:t>I</m:t>
        </m:r>
        <m:r>
          <m:rPr>
            <m:sty m:val="p"/>
          </m:rPr>
          <m:t>∉</m:t>
        </m:r>
        <m:r>
          <m:t>S</m:t>
        </m:r>
      </m:oMath>
      <w:r>
        <w:t xml:space="preserve">, so</w:t>
      </w:r>
      <w:r>
        <w:t xml:space="preserve"> </w:t>
      </w:r>
      <m:oMath>
        <m:r>
          <m:t>r</m:t>
        </m:r>
        <m:box>
          <m:boxPr>
            <m:opEmu m:val="on"/>
          </m:boxPr>
          <m:e>
            <m:r>
              <m:rPr>
                <m:sty m:val="p"/>
              </m:rPr>
              <m:t>:=</m:t>
            </m:r>
          </m:e>
        </m:box>
        <m:r>
          <m:rPr>
            <m:sty m:val="p"/>
          </m:rPr>
          <m:t>(</m:t>
        </m:r>
        <m:r>
          <m:t>1</m:t>
        </m:r>
        <m:r>
          <m:rPr>
            <m:sty m:val="p"/>
          </m:rPr>
          <m:t>−</m:t>
        </m:r>
        <m:sSub>
          <m:e>
            <m:r>
              <m:t>Π</m:t>
            </m:r>
          </m:e>
          <m:sub>
            <m:r>
              <m:t>S</m:t>
            </m:r>
          </m:sub>
        </m:sSub>
        <m:r>
          <m:rPr>
            <m:sty m:val="p"/>
          </m:rPr>
          <m:t>)</m:t>
        </m:r>
        <m:r>
          <m:t>I</m:t>
        </m:r>
        <m:r>
          <m:rPr>
            <m:sty m:val="p"/>
          </m:rPr>
          <m:t>≠</m:t>
        </m:r>
        <m:r>
          <m:t>0</m:t>
        </m:r>
      </m:oMath>
      <w:r>
        <w:t xml:space="preserve">. Fix any non-zero traceless Hermitian</w:t>
      </w:r>
      <w:r>
        <w:t xml:space="preserve"> </w:t>
      </w:r>
      <m:oMath>
        <m:r>
          <m:t>G</m:t>
        </m:r>
      </m:oMath>
      <w:r>
        <w:t xml:space="preserve"> </w:t>
      </w:r>
      <w:r>
        <w:t xml:space="preserve">and let</w:t>
      </w:r>
      <w:r>
        <w:t xml:space="preserve"> </w:t>
      </w:r>
      <m:oMath>
        <m:sSub>
          <m:e>
            <m:r>
              <m:t>H</m:t>
            </m:r>
          </m:e>
          <m:sub>
            <m:r>
              <m:t>ε</m:t>
            </m:r>
          </m:sub>
        </m:sSub>
        <m:r>
          <m:rPr>
            <m:sty m:val="p"/>
          </m:rPr>
          <m:t>=</m:t>
        </m:r>
        <m:r>
          <m:t>I</m:t>
        </m:r>
        <m:r>
          <m:rPr>
            <m:sty m:val="p"/>
          </m:rPr>
          <m:t>+</m:t>
        </m:r>
        <m:r>
          <m:t>ε</m:t>
        </m:r>
        <m:r>
          <m:t>G</m:t>
        </m:r>
      </m:oMath>
      <w:r>
        <w:t xml:space="preserve">. The numerator of the raw expression is</w:t>
      </w:r>
      <w:r>
        <w:t xml:space="preserve"> </w:t>
      </w:r>
      <m:oMath>
        <m:r>
          <m:rPr>
            <m:sty m:val="p"/>
          </m:rPr>
          <m:t>∥</m:t>
        </m:r>
        <m:r>
          <m:t>r</m:t>
        </m:r>
        <m:r>
          <m:rPr>
            <m:sty m:val="p"/>
          </m:rPr>
          <m:t>+</m:t>
        </m:r>
        <m:r>
          <m:t>ε</m:t>
        </m:r>
        <m:r>
          <m:rPr>
            <m:sty m:val="p"/>
          </m:rPr>
          <m:t>(</m:t>
        </m:r>
        <m:r>
          <m:t>1</m:t>
        </m:r>
        <m:r>
          <m:rPr>
            <m:sty m:val="p"/>
          </m:rPr>
          <m:t>−</m:t>
        </m:r>
        <m:sSub>
          <m:e>
            <m:r>
              <m:t>Π</m:t>
            </m:r>
          </m:e>
          <m:sub>
            <m:r>
              <m:t>S</m:t>
            </m:r>
          </m:sub>
        </m:sSub>
        <m:r>
          <m:rPr>
            <m:sty m:val="p"/>
          </m:rPr>
          <m:t>)</m:t>
        </m:r>
        <m:r>
          <m:t>G</m:t>
        </m:r>
        <m:sSubSup>
          <m:e>
            <m:r>
              <m:rPr>
                <m:sty m:val="p"/>
              </m:rPr>
              <m:t>∥</m:t>
            </m:r>
          </m:e>
          <m:sub>
            <m:r>
              <m:t>2</m:t>
            </m:r>
          </m:sub>
          <m:sup>
            <m:r>
              <m:t>2</m:t>
            </m:r>
          </m:sup>
        </m:sSubSup>
        <m:r>
          <m:rPr>
            <m:sty m:val="p"/>
          </m:rPr>
          <m:t>→</m:t>
        </m:r>
        <m:r>
          <m:rPr>
            <m:sty m:val="p"/>
          </m:rPr>
          <m:t>∥</m:t>
        </m:r>
        <m:r>
          <m:t>r</m:t>
        </m:r>
        <m:sSubSup>
          <m:e>
            <m:r>
              <m:rPr>
                <m:sty m:val="p"/>
              </m:rPr>
              <m:t>∥</m:t>
            </m:r>
          </m:e>
          <m:sub>
            <m:r>
              <m:t>2</m:t>
            </m:r>
          </m:sub>
          <m:sup>
            <m:r>
              <m:t>2</m:t>
            </m:r>
          </m:sup>
        </m:sSubSup>
        <m:r>
          <m:rPr>
            <m:sty m:val="p"/>
          </m:rPr>
          <m:t>&gt;</m:t>
        </m:r>
        <m:r>
          <m:t>0</m:t>
        </m:r>
      </m:oMath>
      <w:r>
        <w:t xml:space="preserve"> </w:t>
      </w:r>
      <w:r>
        <w:t xml:space="preserve">as</w:t>
      </w:r>
      <w:r>
        <w:t xml:space="preserve"> </w:t>
      </w:r>
      <m:oMath>
        <m:r>
          <m:t>ε</m:t>
        </m:r>
        <m:r>
          <m:rPr>
            <m:sty m:val="p"/>
          </m:rPr>
          <m:t>→</m:t>
        </m:r>
        <m:r>
          <m:t>0</m:t>
        </m:r>
      </m:oMath>
      <w:r>
        <w:t xml:space="preserve">, while the denominator is</w:t>
      </w:r>
      <w:r>
        <w:t xml:space="preserve"> </w:t>
      </w:r>
      <m:oMath>
        <m:sSup>
          <m:e>
            <m:r>
              <m:t>ε</m:t>
            </m:r>
          </m:e>
          <m:sup>
            <m:r>
              <m:t>2</m:t>
            </m:r>
          </m:sup>
        </m:sSup>
        <m:r>
          <m:rPr>
            <m:sty m:val="p"/>
          </m:rPr>
          <m:t>∥</m:t>
        </m:r>
        <m:r>
          <m:t>G</m:t>
        </m:r>
        <m:sSubSup>
          <m:e>
            <m:r>
              <m:rPr>
                <m:sty m:val="p"/>
              </m:rPr>
              <m:t>∥</m:t>
            </m:r>
          </m:e>
          <m:sub>
            <m:r>
              <m:t>2</m:t>
            </m:r>
          </m:sub>
          <m:sup>
            <m:r>
              <m:t>2</m:t>
            </m:r>
          </m:sup>
        </m:sSubSup>
        <m:r>
          <m:rPr>
            <m:sty m:val="p"/>
          </m:rPr>
          <m:t>→</m:t>
        </m:r>
        <m:r>
          <m:t>0</m:t>
        </m:r>
      </m:oMath>
      <w:r>
        <w:t xml:space="preserve">. Hence</w:t>
      </w:r>
      <w:r>
        <w:t xml:space="preserve"> </w:t>
      </w:r>
      <m:oMath>
        <m:sSubSup>
          <m:e>
            <m:r>
              <m:t>L</m:t>
            </m:r>
          </m:e>
          <m:sub>
            <m:r>
              <m:t>S</m:t>
            </m:r>
          </m:sub>
          <m:sup>
            <m:r>
              <m:rPr>
                <m:sty m:val="p"/>
              </m:rPr>
              <m:t>r</m:t>
            </m:r>
            <m:r>
              <m:rPr>
                <m:sty m:val="p"/>
              </m:rPr>
              <m:t>a</m:t>
            </m:r>
            <m:r>
              <m:rPr>
                <m:sty m:val="p"/>
              </m:rPr>
              <m:t>w</m:t>
            </m:r>
          </m:sup>
        </m:sSubSup>
        <m:r>
          <m:rPr>
            <m:sty m:val="p"/>
          </m:rPr>
          <m:t>(</m:t>
        </m:r>
        <m:sSub>
          <m:e>
            <m:r>
              <m:t>H</m:t>
            </m:r>
          </m:e>
          <m:sub>
            <m:r>
              <m:t>ε</m:t>
            </m:r>
          </m:sub>
        </m:sSub>
        <m:r>
          <m:rPr>
            <m:sty m:val="p"/>
          </m:rPr>
          <m:t>)</m:t>
        </m:r>
      </m:oMath>
      <w:r>
        <w:t xml:space="preserve"> </w:t>
      </w:r>
      <w:r>
        <w:t xml:space="preserve">is unbounded.</w:t>
      </w:r>
      <w:r>
        <w:t xml:space="preserve"> </w:t>
      </w:r>
      <m:oMath>
        <m:r>
          <m:rPr>
            <m:sty m:val="p"/>
          </m:rPr>
          <m:t>▫</m:t>
        </m:r>
      </m:oMath>
    </w:p>
    <w:p>
      <w:pPr>
        <w:pStyle w:val="BodyText"/>
      </w:pPr>
      <w:r>
        <w:rPr>
          <w:i/>
          <w:iCs/>
        </w:rPr>
        <w:t xml:space="preserve">Example.</w:t>
      </w:r>
      <w:r>
        <w:t xml:space="preserve"> </w:t>
      </w:r>
      <w:r>
        <w:t xml:space="preserve">For</w:t>
      </w:r>
      <w:r>
        <w:t xml:space="preserve"> </w:t>
      </w:r>
      <m:oMath>
        <m:r>
          <m:t>n</m:t>
        </m:r>
        <m:r>
          <m:rPr>
            <m:sty m:val="p"/>
          </m:rPr>
          <m:t>=</m:t>
        </m:r>
        <m:r>
          <m:t>3</m:t>
        </m:r>
      </m:oMath>
      <w:r>
        <w:t xml:space="preserve">,</w:t>
      </w:r>
      <w:r>
        <w:t xml:space="preserve"> </w:t>
      </w:r>
      <m:oMath>
        <m:r>
          <m:t>S</m:t>
        </m:r>
      </m:oMath>
      <w:r>
        <w:t xml:space="preserve"> </w:t>
      </w:r>
      <w:r>
        <w:t xml:space="preserve">the span of weight-one Pauli strings (identity excluded) and</w:t>
      </w:r>
      <w:r>
        <w:t xml:space="preserve"> </w:t>
      </w:r>
      <m:oMath>
        <m:r>
          <m:t>H</m:t>
        </m:r>
        <m:r>
          <m:rPr>
            <m:sty m:val="p"/>
          </m:rPr>
          <m:t>=</m:t>
        </m:r>
        <m:r>
          <m:t>I</m:t>
        </m:r>
        <m:r>
          <m:rPr>
            <m:sty m:val="p"/>
          </m:rPr>
          <m:t>+</m:t>
        </m:r>
        <m:r>
          <m:t>0.05</m:t>
        </m:r>
        <m:r>
          <m:t> </m:t>
        </m:r>
        <m:r>
          <m:t>X</m:t>
        </m:r>
        <m:r>
          <m:rPr>
            <m:sty m:val="p"/>
          </m:rPr>
          <m:t>⊗</m:t>
        </m:r>
        <m:r>
          <m:t>X</m:t>
        </m:r>
        <m:r>
          <m:rPr>
            <m:sty m:val="p"/>
          </m:rPr>
          <m:t>⊗</m:t>
        </m:r>
        <m:r>
          <m:t>I</m:t>
        </m:r>
      </m:oMath>
      <w:r>
        <w:t xml:space="preserve">, the numerator is</w:t>
      </w:r>
      <w:r>
        <w:t xml:space="preserve"> </w:t>
      </w:r>
      <m:oMath>
        <m:r>
          <m:rPr>
            <m:sty m:val="p"/>
          </m:rPr>
          <m:t>∥</m:t>
        </m:r>
        <m:r>
          <m:t>I</m:t>
        </m:r>
        <m:sSubSup>
          <m:e>
            <m:r>
              <m:rPr>
                <m:sty m:val="p"/>
              </m:rPr>
              <m:t>∥</m:t>
            </m:r>
          </m:e>
          <m:sub>
            <m:r>
              <m:t>2</m:t>
            </m:r>
          </m:sub>
          <m:sup>
            <m:r>
              <m:t>2</m:t>
            </m:r>
          </m:sup>
        </m:sSubSup>
        <m:r>
          <m:rPr>
            <m:sty m:val="p"/>
          </m:rPr>
          <m:t>+</m:t>
        </m:r>
        <m:r>
          <m:rPr>
            <m:sty m:val="p"/>
          </m:rPr>
          <m:t>∥</m:t>
        </m:r>
        <m:r>
          <m:t>0.05</m:t>
        </m:r>
        <m:r>
          <m:t> </m:t>
        </m:r>
        <m:r>
          <m:t>X</m:t>
        </m:r>
        <m:r>
          <m:t>X</m:t>
        </m:r>
        <m:r>
          <m:t>I</m:t>
        </m:r>
        <m:sSubSup>
          <m:e>
            <m:r>
              <m:rPr>
                <m:sty m:val="p"/>
              </m:rPr>
              <m:t>∥</m:t>
            </m:r>
          </m:e>
          <m:sub>
            <m:r>
              <m:t>2</m:t>
            </m:r>
          </m:sub>
          <m:sup>
            <m:r>
              <m:t>2</m:t>
            </m:r>
          </m:sup>
        </m:sSubSup>
        <m:r>
          <m:rPr>
            <m:sty m:val="p"/>
          </m:rPr>
          <m:t>=</m:t>
        </m:r>
        <m:r>
          <m:t>8.02</m:t>
        </m:r>
      </m:oMath>
      <w:r>
        <w:t xml:space="preserve"> </w:t>
      </w:r>
      <w:r>
        <w:t xml:space="preserve">and the denominator is</w:t>
      </w:r>
      <w:r>
        <w:t xml:space="preserve"> </w:t>
      </w:r>
      <m:oMath>
        <m:r>
          <m:t>0.02</m:t>
        </m:r>
      </m:oMath>
      <w:r>
        <w:t xml:space="preserve">, so</w:t>
      </w:r>
      <w:r>
        <w:t xml:space="preserve"> </w:t>
      </w:r>
      <m:oMath>
        <m:sSubSup>
          <m:e>
            <m:r>
              <m:t>L</m:t>
            </m:r>
          </m:e>
          <m:sub>
            <m:r>
              <m:t>S</m:t>
            </m:r>
          </m:sub>
          <m:sup>
            <m:r>
              <m:rPr>
                <m:sty m:val="p"/>
              </m:rPr>
              <m:t>r</m:t>
            </m:r>
            <m:r>
              <m:rPr>
                <m:sty m:val="p"/>
              </m:rPr>
              <m:t>a</m:t>
            </m:r>
            <m:r>
              <m:rPr>
                <m:sty m:val="p"/>
              </m:rPr>
              <m:t>w</m:t>
            </m:r>
          </m:sup>
        </m:sSubSup>
        <m:r>
          <m:rPr>
            <m:sty m:val="p"/>
          </m:rPr>
          <m:t>(</m:t>
        </m:r>
        <m:r>
          <m:t>H</m:t>
        </m:r>
        <m:r>
          <m:rPr>
            <m:sty m:val="p"/>
          </m:rPr>
          <m:t>)</m:t>
        </m:r>
        <m:r>
          <m:rPr>
            <m:sty m:val="p"/>
          </m:rPr>
          <m:t>=</m:t>
        </m:r>
        <m:r>
          <m:t>401</m:t>
        </m:r>
      </m:oMath>
      <w:r>
        <w:t xml:space="preserve">. Adding the identity to</w:t>
      </w:r>
      <w:r>
        <w:t xml:space="preserve"> </w:t>
      </w:r>
      <m:oMath>
        <m:r>
          <m:t>S</m:t>
        </m:r>
      </m:oMath>
      <w:r>
        <w:t xml:space="preserve"> </w:t>
      </w:r>
      <w:r>
        <w:t xml:space="preserve">gives</w:t>
      </w:r>
      <w:r>
        <w:t xml:space="preserve"> </w:t>
      </w:r>
      <m:oMath>
        <m:sSub>
          <m:e>
            <m:r>
              <m:t>L</m:t>
            </m:r>
          </m:e>
          <m:sub>
            <m:r>
              <m:t>S</m:t>
            </m:r>
          </m:sub>
        </m:sSub>
        <m:r>
          <m:rPr>
            <m:sty m:val="p"/>
          </m:rPr>
          <m:t>(</m:t>
        </m:r>
        <m:r>
          <m:t>H</m:t>
        </m:r>
        <m:r>
          <m:rPr>
            <m:sty m:val="p"/>
          </m:rPr>
          <m:t>)</m:t>
        </m:r>
        <m:r>
          <m:rPr>
            <m:sty m:val="p"/>
          </m:rPr>
          <m:t>=</m:t>
        </m:r>
        <m:r>
          <m:t>1</m:t>
        </m:r>
      </m:oMath>
      <w:r>
        <w:t xml:space="preserve">, as this</w:t>
      </w:r>
      <w:r>
        <w:t xml:space="preserve"> </w:t>
      </w:r>
      <m:oMath>
        <m:sSub>
          <m:e>
            <m:r>
              <m:t>H</m:t>
            </m:r>
          </m:e>
          <m:sub>
            <m:r>
              <m:t>0</m:t>
            </m:r>
          </m:sub>
        </m:sSub>
      </m:oMath>
      <w:r>
        <w:t xml:space="preserve"> </w:t>
      </w:r>
      <w:r>
        <w:t xml:space="preserve">lies entirely outside the weight-one span (Supplement run S02).</w:t>
      </w:r>
    </w:p>
    <w:p>
      <w:pPr>
        <w:pStyle w:val="BodyText"/>
      </w:pPr>
      <w:r>
        <w:rPr>
          <w:b/>
          <w:bCs/>
        </w:rPr>
        <w:t xml:space="preserve">Corollary 1.1 (affine invariance).</w:t>
      </w:r>
      <w:r>
        <w:t xml:space="preserve"> </w:t>
      </w:r>
      <w:r>
        <w:t xml:space="preserve">If</w:t>
      </w:r>
      <w:r>
        <w:t xml:space="preserve"> </w:t>
      </w:r>
      <m:oMath>
        <m:r>
          <m:t>I</m:t>
        </m:r>
        <m:r>
          <m:rPr>
            <m:sty m:val="p"/>
          </m:rPr>
          <m:t>∈</m:t>
        </m:r>
        <m:r>
          <m:t>S</m:t>
        </m:r>
      </m:oMath>
      <w:r>
        <w:t xml:space="preserve"> </w:t>
      </w:r>
      <w:r>
        <w:t xml:space="preserve">then</w:t>
      </w:r>
      <w:r>
        <w:t xml:space="preserve"> </w:t>
      </w:r>
      <m:oMath>
        <m:sSub>
          <m:e>
            <m:r>
              <m:t>L</m:t>
            </m:r>
          </m:e>
          <m:sub>
            <m:r>
              <m:t>S</m:t>
            </m:r>
          </m:sub>
        </m:sSub>
        <m:r>
          <m:rPr>
            <m:sty m:val="p"/>
          </m:rPr>
          <m:t>(</m:t>
        </m:r>
        <m:r>
          <m:t>a</m:t>
        </m:r>
        <m:r>
          <m:t>H</m:t>
        </m:r>
        <m:r>
          <m:rPr>
            <m:sty m:val="p"/>
          </m:rPr>
          <m:t>+</m:t>
        </m:r>
        <m:r>
          <m:t>b</m:t>
        </m:r>
        <m:r>
          <m:t>I</m:t>
        </m:r>
        <m:r>
          <m:rPr>
            <m:sty m:val="p"/>
          </m:rPr>
          <m:t>)</m:t>
        </m:r>
        <m:r>
          <m:rPr>
            <m:sty m:val="p"/>
          </m:rPr>
          <m:t>=</m:t>
        </m:r>
        <m:sSub>
          <m:e>
            <m:r>
              <m:t>L</m:t>
            </m:r>
          </m:e>
          <m:sub>
            <m:r>
              <m:t>S</m:t>
            </m:r>
          </m:sub>
        </m:sSub>
        <m:r>
          <m:rPr>
            <m:sty m:val="p"/>
          </m:rPr>
          <m:t>(</m:t>
        </m:r>
        <m:r>
          <m:t>H</m:t>
        </m:r>
        <m:r>
          <m:rPr>
            <m:sty m:val="p"/>
          </m:rPr>
          <m:t>)</m:t>
        </m:r>
      </m:oMath>
      <w:r>
        <w:t xml:space="preserve"> </w:t>
      </w:r>
      <w:r>
        <w:t xml:space="preserve">for all real</w:t>
      </w:r>
      <w:r>
        <w:t xml:space="preserve"> </w:t>
      </w:r>
      <m:oMath>
        <m:r>
          <m:t>a</m:t>
        </m:r>
        <m:r>
          <m:rPr>
            <m:sty m:val="p"/>
          </m:rPr>
          <m:t>≠</m:t>
        </m:r>
        <m:r>
          <m:t>0</m:t>
        </m:r>
      </m:oMath>
      <w:r>
        <w:t xml:space="preserve"> </w:t>
      </w:r>
      <w:r>
        <w:t xml:space="preserve">and</w:t>
      </w:r>
      <w:r>
        <w:t xml:space="preserve"> </w:t>
      </w:r>
      <m:oMath>
        <m:r>
          <m:t>b</m:t>
        </m:r>
      </m:oMath>
      <w:r>
        <w:t xml:space="preserve">. This is invariance of the score. Rescaling the Hamiltonian while holding clock time fixed generally changes record dynamics. Dynamical equivalence requires the corresponding time rescaling; an energy-origin shift of one autonomous branch only adds its global phase.</w:t>
      </w:r>
    </w:p>
    <w:p>
      <w:pPr>
        <w:pStyle w:val="BodyText"/>
      </w:pPr>
      <w:r>
        <w:rPr>
          <w:b/>
          <w:bCs/>
        </w:rPr>
        <w:t xml:space="preserve">Lemma 2 (candidate-invariant denominator).</w:t>
      </w:r>
      <w:r>
        <w:t xml:space="preserve"> </w:t>
      </w:r>
      <w:r>
        <w:t xml:space="preserve">For every unitary</w:t>
      </w:r>
      <w:r>
        <w:t xml:space="preserve"> </w:t>
      </w:r>
      <m:oMath>
        <m:r>
          <m:t>V</m:t>
        </m:r>
      </m:oMath>
      <w:r>
        <w:t xml:space="preserve">,</w:t>
      </w:r>
      <w:r>
        <w:t xml:space="preserve"> </w:t>
      </w:r>
      <m:oMath>
        <m:r>
          <m:rPr>
            <m:sty m:val="p"/>
          </m:rPr>
          <m:t>∥</m:t>
        </m:r>
        <m:sSub>
          <m:e>
            <m:r>
              <m:rPr>
                <m:sty m:val="p"/>
              </m:rPr>
              <m:t>(</m:t>
            </m:r>
            <m:sSup>
              <m:e>
                <m:r>
                  <m:t>V</m:t>
                </m:r>
              </m:e>
              <m:sup>
                <m:r>
                  <m:rPr>
                    <m:sty m:val="p"/>
                  </m:rPr>
                  <m:t>†</m:t>
                </m:r>
              </m:sup>
            </m:sSup>
            <m:r>
              <m:t>H</m:t>
            </m:r>
            <m:r>
              <m:t>V</m:t>
            </m:r>
            <m:r>
              <m:rPr>
                <m:sty m:val="p"/>
              </m:rPr>
              <m:t>)</m:t>
            </m:r>
          </m:e>
          <m:sub>
            <m:r>
              <m:t>0</m:t>
            </m:r>
          </m:sub>
        </m:sSub>
        <m:sSub>
          <m:e>
            <m:r>
              <m:rPr>
                <m:sty m:val="p"/>
              </m:rPr>
              <m:t>∥</m:t>
            </m:r>
          </m:e>
          <m:sub>
            <m:r>
              <m:t>2</m:t>
            </m:r>
          </m:sub>
        </m:sSub>
        <m:r>
          <m:rPr>
            <m:sty m:val="p"/>
          </m:rPr>
          <m:t>=</m:t>
        </m:r>
        <m:r>
          <m:rPr>
            <m:sty m:val="p"/>
          </m:rPr>
          <m:t>∥</m:t>
        </m:r>
        <m:sSub>
          <m:e>
            <m:r>
              <m:t>H</m:t>
            </m:r>
          </m:e>
          <m:sub>
            <m:r>
              <m:t>0</m:t>
            </m:r>
          </m:sub>
        </m:sSub>
        <m:sSub>
          <m:e>
            <m:r>
              <m:rPr>
                <m:sty m:val="p"/>
              </m:rPr>
              <m:t>∥</m:t>
            </m:r>
          </m:e>
          <m:sub>
            <m:r>
              <m:t>2</m:t>
            </m:r>
          </m:sub>
        </m:sSub>
      </m:oMath>
      <w:r>
        <w:t xml:space="preserve">. Hence, with</w:t>
      </w:r>
      <w:r>
        <w:t xml:space="preserve"> </w:t>
      </w:r>
      <m:oMath>
        <m:r>
          <m:t>I</m:t>
        </m:r>
        <m:r>
          <m:rPr>
            <m:sty m:val="p"/>
          </m:rPr>
          <m:t>∈</m:t>
        </m:r>
        <m:r>
          <m:t>S</m:t>
        </m:r>
      </m:oMath>
      <w:r>
        <w:t xml:space="preserve">,</w:t>
      </w:r>
      <w:r>
        <w:t xml:space="preserve"> </w:t>
      </w:r>
      <m:oMath>
        <m:r>
          <m:t>L</m:t>
        </m:r>
        <m:r>
          <m:rPr>
            <m:sty m:val="p"/>
          </m:rPr>
          <m:t>(</m:t>
        </m:r>
        <m:r>
          <m:t>D</m:t>
        </m:r>
        <m:r>
          <m:rPr>
            <m:sty m:val="p"/>
          </m:rPr>
          <m:t>;</m:t>
        </m:r>
        <m:r>
          <m:t>H</m:t>
        </m:r>
        <m:r>
          <m:rPr>
            <m:sty m:val="p"/>
          </m:rPr>
          <m:t>)</m:t>
        </m:r>
        <m:r>
          <m:rPr>
            <m:sty m:val="p"/>
          </m:rPr>
          <m:t>=</m:t>
        </m:r>
        <m:r>
          <m:t>1</m:t>
        </m:r>
        <m:r>
          <m:rPr>
            <m:sty m:val="p"/>
          </m:rPr>
          <m:t>−</m:t>
        </m:r>
        <m:r>
          <m:rPr>
            <m:sty m:val="p"/>
          </m:rPr>
          <m:t>∥</m:t>
        </m:r>
        <m:sSub>
          <m:e>
            <m:r>
              <m:t>Π</m:t>
            </m:r>
          </m:e>
          <m:sub>
            <m:r>
              <m:t>S</m:t>
            </m:r>
          </m:sub>
        </m:sSub>
        <m:r>
          <m:rPr>
            <m:sty m:val="p"/>
          </m:rPr>
          <m:t>(</m:t>
        </m:r>
        <m:sSubSup>
          <m:e>
            <m:r>
              <m:t>V</m:t>
            </m:r>
          </m:e>
          <m:sub>
            <m:r>
              <m:t>D</m:t>
            </m:r>
          </m:sub>
          <m:sup>
            <m:r>
              <m:rPr>
                <m:sty m:val="p"/>
              </m:rPr>
              <m:t>†</m:t>
            </m:r>
          </m:sup>
        </m:sSubSup>
        <m:sSub>
          <m:e>
            <m:r>
              <m:t>H</m:t>
            </m:r>
          </m:e>
          <m:sub>
            <m:r>
              <m:t>0</m:t>
            </m:r>
          </m:sub>
        </m:sSub>
        <m:sSub>
          <m:e>
            <m:r>
              <m:t>V</m:t>
            </m:r>
          </m:e>
          <m:sub>
            <m:r>
              <m:t>D</m:t>
            </m:r>
          </m:sub>
        </m:sSub>
        <m:r>
          <m:rPr>
            <m:sty m:val="p"/>
          </m:rPr>
          <m:t>)</m:t>
        </m:r>
        <m:sSubSup>
          <m:e>
            <m:r>
              <m:rPr>
                <m:sty m:val="p"/>
              </m:rPr>
              <m:t>∥</m:t>
            </m:r>
          </m:e>
          <m:sub>
            <m:r>
              <m:t>2</m:t>
            </m:r>
          </m:sub>
          <m:sup>
            <m:r>
              <m:t>2</m:t>
            </m:r>
          </m:sup>
        </m:sSubSup>
        <m:r>
          <m:rPr>
            <m:sty m:val="p"/>
          </m:rPr>
          <m:t>/</m:t>
        </m:r>
        <m:r>
          <m:rPr>
            <m:sty m:val="p"/>
          </m:rPr>
          <m:t>∥</m:t>
        </m:r>
        <m:sSub>
          <m:e>
            <m:r>
              <m:t>H</m:t>
            </m:r>
          </m:e>
          <m:sub>
            <m:r>
              <m:t>0</m:t>
            </m:r>
          </m:sub>
        </m:sSub>
        <m:sSubSup>
          <m:e>
            <m:r>
              <m:rPr>
                <m:sty m:val="p"/>
              </m:rPr>
              <m:t>∥</m:t>
            </m:r>
          </m:e>
          <m:sub>
            <m:r>
              <m:t>2</m:t>
            </m:r>
          </m:sub>
          <m:sup>
            <m:r>
              <m:t>2</m:t>
            </m:r>
          </m:sup>
        </m:sSubSup>
      </m:oMath>
      <w:r>
        <w:t xml:space="preserve">, and ranking candidates by</w:t>
      </w:r>
      <w:r>
        <w:t xml:space="preserve"> </w:t>
      </w:r>
      <m:oMath>
        <m:r>
          <m:t>L</m:t>
        </m:r>
      </m:oMath>
      <w:r>
        <w:t xml:space="preserve"> </w:t>
      </w:r>
      <w:r>
        <w:t xml:space="preserve">is ranking them by the local weight they capture.</w:t>
      </w:r>
    </w:p>
    <w:p>
      <w:pPr>
        <w:pStyle w:val="BodyText"/>
      </w:pPr>
      <w:r>
        <w:rPr>
          <w:i/>
          <w:iCs/>
        </w:rPr>
        <w:t xml:space="preserve">Proof.</w:t>
      </w:r>
      <w:r>
        <w:t xml:space="preserve"> </w:t>
      </w:r>
      <m:oMath>
        <m:r>
          <m:rPr>
            <m:sty m:val="p"/>
            <m:nor m:val="1"/>
          </m:rPr>
          <w:rPr>
            <w:i w:val="0"/>
          </w:rPr>
          <m:t>Tr</m:t>
        </m:r>
        <m:r>
          <m:rPr>
            <m:sty m:val="p"/>
          </m:rPr>
          <m:t>(</m:t>
        </m:r>
        <m:sSup>
          <m:e>
            <m:r>
              <m:t>V</m:t>
            </m:r>
          </m:e>
          <m:sup>
            <m:r>
              <m:rPr>
                <m:sty m:val="p"/>
              </m:rPr>
              <m:t>†</m:t>
            </m:r>
          </m:sup>
        </m:sSup>
        <m:r>
          <m:t>H</m:t>
        </m:r>
        <m:r>
          <m:t>V</m:t>
        </m:r>
        <m:r>
          <m:rPr>
            <m:sty m:val="p"/>
          </m:rPr>
          <m:t>)</m:t>
        </m:r>
        <m:r>
          <m:rPr>
            <m:sty m:val="p"/>
          </m:rPr>
          <m:t>=</m:t>
        </m:r>
        <m:r>
          <m:rPr>
            <m:sty m:val="p"/>
            <m:nor m:val="1"/>
          </m:rPr>
          <w:rPr>
            <w:i w:val="0"/>
          </w:rPr>
          <m:t>Tr</m:t>
        </m:r>
        <m:r>
          <m:t> </m:t>
        </m:r>
        <m:r>
          <m:t>H</m:t>
        </m:r>
      </m:oMath>
      <w:r>
        <w:t xml:space="preserve">, so</w:t>
      </w:r>
      <w:r>
        <w:t xml:space="preserve"> </w:t>
      </w:r>
      <m:oMath>
        <m:sSub>
          <m:e>
            <m:r>
              <m:rPr>
                <m:sty m:val="p"/>
              </m:rPr>
              <m:t>(</m:t>
            </m:r>
            <m:sSup>
              <m:e>
                <m:r>
                  <m:t>V</m:t>
                </m:r>
              </m:e>
              <m:sup>
                <m:r>
                  <m:rPr>
                    <m:sty m:val="p"/>
                  </m:rPr>
                  <m:t>†</m:t>
                </m:r>
              </m:sup>
            </m:sSup>
            <m:r>
              <m:t>H</m:t>
            </m:r>
            <m:r>
              <m:t>V</m:t>
            </m:r>
            <m:r>
              <m:rPr>
                <m:sty m:val="p"/>
              </m:rPr>
              <m:t>)</m:t>
            </m:r>
          </m:e>
          <m:sub>
            <m:r>
              <m:t>0</m:t>
            </m:r>
          </m:sub>
        </m:sSub>
        <m:r>
          <m:rPr>
            <m:sty m:val="p"/>
          </m:rPr>
          <m:t>=</m:t>
        </m:r>
        <m:sSup>
          <m:e>
            <m:r>
              <m:t>V</m:t>
            </m:r>
          </m:e>
          <m:sup>
            <m:r>
              <m:rPr>
                <m:sty m:val="p"/>
              </m:rPr>
              <m:t>†</m:t>
            </m:r>
          </m:sup>
        </m:sSup>
        <m:sSub>
          <m:e>
            <m:r>
              <m:t>H</m:t>
            </m:r>
          </m:e>
          <m:sub>
            <m:r>
              <m:t>0</m:t>
            </m:r>
          </m:sub>
        </m:sSub>
        <m:r>
          <m:t>V</m:t>
        </m:r>
      </m:oMath>
      <w:r>
        <w:t xml:space="preserve">, and the Hilbert-Schmidt norm is unitarily invariant.</w:t>
      </w:r>
      <w:r>
        <w:t xml:space="preserve"> </w:t>
      </w:r>
      <m:oMath>
        <m:r>
          <m:rPr>
            <m:sty m:val="p"/>
          </m:rPr>
          <m:t>▫</m:t>
        </m:r>
      </m:oMath>
    </w:p>
    <w:p>
      <w:pPr>
        <w:pStyle w:val="BodyText"/>
      </w:pPr>
      <w:r>
        <w:rPr>
          <w:b/>
          <w:bCs/>
        </w:rPr>
        <w:t xml:space="preserve">Lemma 3 (class functions).</w:t>
      </w:r>
      <w:r>
        <w:t xml:space="preserve"> </w:t>
      </w:r>
      <w:r>
        <w:t xml:space="preserve">If</w:t>
      </w:r>
      <w:r>
        <w:t xml:space="preserve"> </w:t>
      </w:r>
      <m:oMath>
        <m:r>
          <m:t>W</m:t>
        </m:r>
        <m:r>
          <m:rPr>
            <m:sty m:val="p"/>
          </m:rPr>
          <m:t>∈</m:t>
        </m:r>
        <m:r>
          <m:rPr>
            <m:sty m:val="p"/>
            <m:nor m:val="1"/>
          </m:rPr>
          <w:rPr>
            <w:i w:val="0"/>
          </w:rPr>
          <m:t>Stab</m:t>
        </m:r>
        <m:r>
          <m:rPr>
            <m:sty m:val="p"/>
          </m:rPr>
          <m:t>(</m:t>
        </m:r>
        <m:r>
          <m:rPr>
            <m:sty m:val="p"/>
            <m:scr m:val="script"/>
          </m:rPr>
          <m:t>R</m:t>
        </m:r>
        <m:r>
          <m:rPr>
            <m:sty m:val="p"/>
          </m:rPr>
          <m:t>)</m:t>
        </m:r>
      </m:oMath>
      <w:r>
        <w:t xml:space="preserve"> </w:t>
      </w:r>
      <w:r>
        <w:t xml:space="preserve">then</w:t>
      </w:r>
      <w:r>
        <w:t xml:space="preserve"> </w:t>
      </w:r>
      <m:oMath>
        <m:r>
          <m:t>L</m:t>
        </m:r>
        <m:r>
          <m:rPr>
            <m:sty m:val="p"/>
          </m:rPr>
          <m:t>(</m:t>
        </m:r>
        <m:r>
          <m:t>V</m:t>
        </m:r>
        <m:r>
          <m:t>W</m:t>
        </m:r>
        <m:r>
          <m:rPr>
            <m:sty m:val="p"/>
          </m:rPr>
          <m:t>;</m:t>
        </m:r>
        <m:r>
          <m:t>H</m:t>
        </m:r>
        <m:r>
          <m:rPr>
            <m:sty m:val="p"/>
          </m:rPr>
          <m:t>)</m:t>
        </m:r>
        <m:r>
          <m:rPr>
            <m:sty m:val="p"/>
          </m:rPr>
          <m:t>=</m:t>
        </m:r>
        <m:r>
          <m:t>L</m:t>
        </m:r>
        <m:r>
          <m:rPr>
            <m:sty m:val="p"/>
          </m:rPr>
          <m:t>(</m:t>
        </m:r>
        <m:r>
          <m:t>V</m:t>
        </m:r>
        <m:r>
          <m:rPr>
            <m:sty m:val="p"/>
          </m:rPr>
          <m:t>;</m:t>
        </m:r>
        <m:r>
          <m:t>H</m:t>
        </m:r>
        <m:r>
          <m:rPr>
            <m:sty m:val="p"/>
          </m:rPr>
          <m:t>)</m:t>
        </m:r>
      </m:oMath>
      <w:r>
        <w:t xml:space="preserve"> </w:t>
      </w:r>
      <w:r>
        <w:t xml:space="preserve">for every</w:t>
      </w:r>
      <w:r>
        <w:t xml:space="preserve"> </w:t>
      </w:r>
      <m:oMath>
        <m:r>
          <m:t>H</m:t>
        </m:r>
      </m:oMath>
      <w:r>
        <w:t xml:space="preserve">, and</w:t>
      </w:r>
      <w:r>
        <w:t xml:space="preserve"> </w:t>
      </w:r>
      <m:oMath>
        <m:r>
          <m:t>R</m:t>
        </m:r>
      </m:oMath>
      <w:r>
        <w:t xml:space="preserve"> </w:t>
      </w:r>
      <w:r>
        <w:t xml:space="preserve">computed with the fragment family of</w:t>
      </w:r>
      <w:r>
        <w:t xml:space="preserve"> </w:t>
      </w:r>
      <m:oMath>
        <m:r>
          <m:rPr>
            <m:sty m:val="p"/>
            <m:scr m:val="script"/>
          </m:rPr>
          <m:t>R</m:t>
        </m:r>
      </m:oMath>
      <w:r>
        <w:t xml:space="preserve"> </w:t>
      </w:r>
      <w:r>
        <w:t xml:space="preserve">satisfies</w:t>
      </w:r>
      <w:r>
        <w:t xml:space="preserve"> </w:t>
      </w:r>
      <m:oMath>
        <m:r>
          <m:t>R</m:t>
        </m:r>
        <m:r>
          <m:rPr>
            <m:sty m:val="p"/>
          </m:rPr>
          <m:t>(</m:t>
        </m:r>
        <m:r>
          <m:t>V</m:t>
        </m:r>
        <m:r>
          <m:t>W</m:t>
        </m:r>
        <m:r>
          <m:rPr>
            <m:sty m:val="p"/>
          </m:rPr>
          <m:t>)</m:t>
        </m:r>
        <m:r>
          <m:rPr>
            <m:sty m:val="p"/>
          </m:rPr>
          <m:t>=</m:t>
        </m:r>
        <m:r>
          <m:t>R</m:t>
        </m:r>
        <m:r>
          <m:rPr>
            <m:sty m:val="p"/>
          </m:rPr>
          <m:t>(</m:t>
        </m:r>
        <m:r>
          <m:t>V</m:t>
        </m:r>
        <m:r>
          <m:rPr>
            <m:sty m:val="p"/>
          </m:rPr>
          <m:t>)</m:t>
        </m:r>
      </m:oMath>
      <w:r>
        <w:t xml:space="preserve">.</w:t>
      </w:r>
    </w:p>
    <w:p>
      <w:pPr>
        <w:pStyle w:val="BodyText"/>
      </w:pPr>
      <w:r>
        <w:rPr>
          <w:i/>
          <w:iCs/>
        </w:rPr>
        <w:t xml:space="preserve">Proof.</w:t>
      </w:r>
      <w:r>
        <w:t xml:space="preserve"> </w:t>
      </w:r>
      <w:r>
        <w:t xml:space="preserve">Conjugation by</w:t>
      </w:r>
      <w:r>
        <w:t xml:space="preserve"> </w:t>
      </w:r>
      <m:oMath>
        <m:r>
          <m:t>W</m:t>
        </m:r>
      </m:oMath>
      <w:r>
        <w:t xml:space="preserve"> </w:t>
      </w:r>
      <w:r>
        <w:t xml:space="preserve">is a Hilbert-Schmidt unitary that maps</w:t>
      </w:r>
      <w:r>
        <w:t xml:space="preserve"> </w:t>
      </w:r>
      <m:oMath>
        <m:r>
          <m:t>S</m:t>
        </m:r>
      </m:oMath>
      <w:r>
        <w:t xml:space="preserve"> </w:t>
      </w:r>
      <w:r>
        <w:t xml:space="preserve">onto itself and hence</w:t>
      </w:r>
      <w:r>
        <w:t xml:space="preserve"> </w:t>
      </w:r>
      <m:oMath>
        <m:sSup>
          <m:e>
            <m:r>
              <m:t>S</m:t>
            </m:r>
          </m:e>
          <m:sup>
            <m:r>
              <m:rPr>
                <m:sty m:val="p"/>
              </m:rPr>
              <m:t>⊥</m:t>
            </m:r>
          </m:sup>
        </m:sSup>
      </m:oMath>
      <w:r>
        <w:t xml:space="preserve"> </w:t>
      </w:r>
      <w:r>
        <w:t xml:space="preserve">onto itself, so it commutes with</w:t>
      </w:r>
      <w:r>
        <w:t xml:space="preserve"> </w:t>
      </w:r>
      <m:oMath>
        <m:sSub>
          <m:e>
            <m:r>
              <m:t>Π</m:t>
            </m:r>
          </m:e>
          <m:sub>
            <m:r>
              <m:t>S</m:t>
            </m:r>
          </m:sub>
        </m:sSub>
      </m:oMath>
      <w:r>
        <w:t xml:space="preserve">. Therefore</w:t>
      </w:r>
      <w:r>
        <w:t xml:space="preserve"> </w:t>
      </w:r>
      <m:oMath>
        <m:r>
          <m:rPr>
            <m:sty m:val="p"/>
          </m:rPr>
          <m:t>∥</m:t>
        </m:r>
        <m:sSub>
          <m:e>
            <m:r>
              <m:t>Π</m:t>
            </m:r>
          </m:e>
          <m:sub>
            <m:r>
              <m:t>S</m:t>
            </m:r>
          </m:sub>
        </m:sSub>
        <m:r>
          <m:rPr>
            <m:sty m:val="p"/>
          </m:rPr>
          <m:t>(</m:t>
        </m:r>
        <m:sSup>
          <m:e>
            <m:r>
              <m:t>W</m:t>
            </m:r>
          </m:e>
          <m:sup>
            <m:r>
              <m:rPr>
                <m:sty m:val="p"/>
              </m:rPr>
              <m:t>†</m:t>
            </m:r>
          </m:sup>
        </m:sSup>
        <m:r>
          <m:t>A</m:t>
        </m:r>
        <m:r>
          <m:t>W</m:t>
        </m:r>
        <m:r>
          <m:rPr>
            <m:sty m:val="p"/>
          </m:rPr>
          <m:t>)</m:t>
        </m:r>
        <m:sSub>
          <m:e>
            <m:r>
              <m:rPr>
                <m:sty m:val="p"/>
              </m:rPr>
              <m:t>∥</m:t>
            </m:r>
          </m:e>
          <m:sub>
            <m:r>
              <m:t>2</m:t>
            </m:r>
          </m:sub>
        </m:sSub>
        <m:r>
          <m:rPr>
            <m:sty m:val="p"/>
          </m:rPr>
          <m:t>=</m:t>
        </m:r>
        <m:r>
          <m:rPr>
            <m:sty m:val="p"/>
          </m:rPr>
          <m:t>∥</m:t>
        </m:r>
        <m:sSup>
          <m:e>
            <m:r>
              <m:t>W</m:t>
            </m:r>
          </m:e>
          <m:sup>
            <m:r>
              <m:rPr>
                <m:sty m:val="p"/>
              </m:rPr>
              <m:t>†</m:t>
            </m:r>
          </m:sup>
        </m:sSup>
        <m:sSub>
          <m:e>
            <m:r>
              <m:t>Π</m:t>
            </m:r>
          </m:e>
          <m:sub>
            <m:r>
              <m:t>S</m:t>
            </m:r>
          </m:sub>
        </m:sSub>
        <m:r>
          <m:rPr>
            <m:sty m:val="p"/>
          </m:rPr>
          <m:t>(</m:t>
        </m:r>
        <m:r>
          <m:t>A</m:t>
        </m:r>
        <m:r>
          <m:rPr>
            <m:sty m:val="p"/>
          </m:rPr>
          <m:t>)</m:t>
        </m:r>
        <m:r>
          <m:t>W</m:t>
        </m:r>
        <m:sSub>
          <m:e>
            <m:r>
              <m:rPr>
                <m:sty m:val="p"/>
              </m:rPr>
              <m:t>∥</m:t>
            </m:r>
          </m:e>
          <m:sub>
            <m:r>
              <m:t>2</m:t>
            </m:r>
          </m:sub>
        </m:sSub>
        <m:r>
          <m:rPr>
            <m:sty m:val="p"/>
          </m:rPr>
          <m:t>=</m:t>
        </m:r>
        <m:r>
          <m:rPr>
            <m:sty m:val="p"/>
          </m:rPr>
          <m:t>∥</m:t>
        </m:r>
        <m:sSub>
          <m:e>
            <m:r>
              <m:t>Π</m:t>
            </m:r>
          </m:e>
          <m:sub>
            <m:r>
              <m:t>S</m:t>
            </m:r>
          </m:sub>
        </m:sSub>
        <m:r>
          <m:rPr>
            <m:sty m:val="p"/>
          </m:rPr>
          <m:t>(</m:t>
        </m:r>
        <m:r>
          <m:t>A</m:t>
        </m:r>
        <m:r>
          <m:rPr>
            <m:sty m:val="p"/>
          </m:rPr>
          <m:t>)</m:t>
        </m:r>
        <m:sSub>
          <m:e>
            <m:r>
              <m:rPr>
                <m:sty m:val="p"/>
              </m:rPr>
              <m:t>∥</m:t>
            </m:r>
          </m:e>
          <m:sub>
            <m:r>
              <m:t>2</m:t>
            </m:r>
          </m:sub>
        </m:sSub>
      </m:oMath>
      <w:r>
        <w:t xml:space="preserve"> </w:t>
      </w:r>
      <w:r>
        <w:t xml:space="preserve">with</w:t>
      </w:r>
      <w:r>
        <w:t xml:space="preserve"> </w:t>
      </w:r>
      <m:oMath>
        <m:r>
          <m:t>A</m:t>
        </m:r>
        <m:r>
          <m:rPr>
            <m:sty m:val="p"/>
          </m:rPr>
          <m:t>=</m:t>
        </m:r>
        <m:sSup>
          <m:e>
            <m:r>
              <m:t>V</m:t>
            </m:r>
          </m:e>
          <m:sup>
            <m:r>
              <m:rPr>
                <m:sty m:val="p"/>
              </m:rPr>
              <m:t>†</m:t>
            </m:r>
          </m:sup>
        </m:sSup>
        <m:sSub>
          <m:e>
            <m:r>
              <m:t>H</m:t>
            </m:r>
          </m:e>
          <m:sub>
            <m:r>
              <m:t>0</m:t>
            </m:r>
          </m:sub>
        </m:sSub>
        <m:r>
          <m:t>V</m:t>
        </m:r>
      </m:oMath>
      <w:r>
        <w:t xml:space="preserve">, and Lemma 2 fixes the denominator. For records, the full stabilizer must additionally preserve fragment sizes, disjointness, source exclusions and declared decoder/access budgets. Under these conditions</w:t>
      </w:r>
      <w:r>
        <w:t xml:space="preserve"> </w:t>
      </w:r>
      <m:oMath>
        <m:r>
          <m:t>W</m:t>
        </m:r>
      </m:oMath>
      <w:r>
        <w:t xml:space="preserve"> </w:t>
      </w:r>
      <w:r>
        <w:t xml:space="preserve">maps each fragment algebra onto an eligible fragment algebra of the same size, so eligible fragments correspond bijectively and paired reduced states are related by a common local unitary. The permitted decoder is transported with that correspondence. Attainable Helstrom errors, qualification decisions and the maximal disjoint count are therefore preserved; the reduced matrices need not be literally identical.</w:t>
      </w:r>
      <w:r>
        <w:t xml:space="preserve"> </w:t>
      </w:r>
      <m:oMath>
        <m:r>
          <m:rPr>
            <m:sty m:val="p"/>
          </m:rPr>
          <m:t>▫</m:t>
        </m:r>
      </m:oMath>
    </w:p>
    <w:p>
      <w:pPr>
        <w:pStyle w:val="BodyText"/>
      </w:pPr>
      <w:r>
        <w:t xml:space="preserve">Numerically, for random</w:t>
      </w:r>
      <w:r>
        <w:t xml:space="preserve"> </w:t>
      </w:r>
      <m:oMath>
        <m:r>
          <m:t>8</m:t>
        </m:r>
        <m:r>
          <m:rPr>
            <m:sty m:val="p"/>
          </m:rPr>
          <m:t>×</m:t>
        </m:r>
        <m:r>
          <m:t>8</m:t>
        </m:r>
      </m:oMath>
      <w:r>
        <w:t xml:space="preserve"> </w:t>
      </w:r>
      <w:r>
        <w:t xml:space="preserve">Hamiltonians the change in</w:t>
      </w:r>
      <w:r>
        <w:t xml:space="preserve"> </w:t>
      </w:r>
      <m:oMath>
        <m:r>
          <m:t>L</m:t>
        </m:r>
      </m:oMath>
      <w:r>
        <w:t xml:space="preserve"> </w:t>
      </w:r>
      <w:r>
        <w:t xml:space="preserve">under a product of single-qubit unitaries, a cyclic qubit permutation, and their product is at most</w:t>
      </w:r>
      <w:r>
        <w:t xml:space="preserve"> </w:t>
      </w:r>
      <m:oMath>
        <m:r>
          <m:t>6</m:t>
        </m:r>
        <m:r>
          <m:rPr>
            <m:sty m:val="p"/>
          </m:rPr>
          <m:t>×</m:t>
        </m:r>
        <m:sSup>
          <m:e>
            <m:r>
              <m:t>10</m:t>
            </m:r>
          </m:e>
          <m:sup>
            <m:r>
              <m:rPr>
                <m:sty m:val="p"/>
              </m:rPr>
              <m:t>−</m:t>
            </m:r>
            <m:r>
              <m:t>17</m:t>
            </m:r>
          </m:sup>
        </m:sSup>
      </m:oMath>
      <w:r>
        <w:t xml:space="preserve">, while a generic unitary changes</w:t>
      </w:r>
      <w:r>
        <w:t xml:space="preserve"> </w:t>
      </w:r>
      <m:oMath>
        <m:r>
          <m:t>L</m:t>
        </m:r>
      </m:oMath>
      <w:r>
        <w:t xml:space="preserve"> </w:t>
      </w:r>
      <w:r>
        <w:t xml:space="preserve">by</w:t>
      </w:r>
      <w:r>
        <w:t xml:space="preserve"> </w:t>
      </w:r>
      <m:oMath>
        <m:r>
          <m:t>0.144</m:t>
        </m:r>
      </m:oMath>
      <w:r>
        <w:t xml:space="preserve"> </w:t>
      </w:r>
      <w:r>
        <w:t xml:space="preserve">in the sampled instance (Supplement run S02).</w:t>
      </w:r>
    </w:p>
    <w:p>
      <w:pPr>
        <w:pStyle w:val="BodyText"/>
      </w:pPr>
      <w:r>
        <w:rPr>
          <w:b/>
          <w:bCs/>
        </w:rPr>
        <w:t xml:space="preserve">Consequence for counting.</w:t>
      </w:r>
      <w:r>
        <w:t xml:space="preserve"> </w:t>
      </w:r>
      <w:r>
        <w:t xml:space="preserve">Candidate families must be reduced to classes before</w:t>
      </w:r>
      <w:r>
        <w:t xml:space="preserve"> </w:t>
      </w:r>
      <m:oMath>
        <m:sSub>
          <m:e>
            <m:r>
              <m:rPr>
                <m:sty m:val="p"/>
                <m:scr m:val="script"/>
              </m:rPr>
              <m:t>N</m:t>
            </m:r>
          </m:e>
          <m:sub>
            <m:r>
              <m:t>L</m:t>
            </m:r>
          </m:sub>
        </m:sSub>
      </m:oMath>
      <w:r>
        <w:t xml:space="preserve">,</w:t>
      </w:r>
      <w:r>
        <w:t xml:space="preserve"> </w:t>
      </w:r>
      <m:oMath>
        <m:sSub>
          <m:e>
            <m:r>
              <m:rPr>
                <m:sty m:val="p"/>
                <m:scr m:val="script"/>
              </m:rPr>
              <m:t>N</m:t>
            </m:r>
          </m:e>
          <m:sub>
            <m:r>
              <m:t>R</m:t>
            </m:r>
          </m:sub>
        </m:sSub>
      </m:oMath>
      <w:r>
        <w:t xml:space="preserve"> </w:t>
      </w:r>
      <w:r>
        <w:t xml:space="preserve">or any chance baseline is formed. Otherwise a family containing</w:t>
      </w:r>
      <w:r>
        <w:t xml:space="preserve"> </w:t>
      </w:r>
      <m:oMath>
        <m:r>
          <m:t>m</m:t>
        </m:r>
      </m:oMath>
      <w:r>
        <w:t xml:space="preserve"> </w:t>
      </w:r>
      <w:r>
        <w:t xml:space="preserve">stabilizer-equivalent copies of one structure offers</w:t>
      </w:r>
      <w:r>
        <w:t xml:space="preserve"> </w:t>
      </w:r>
      <m:oMath>
        <m:r>
          <m:t>m</m:t>
        </m:r>
      </m:oMath>
      <w:r>
        <w:t xml:space="preserve"> </w:t>
      </w:r>
      <w:r>
        <w:t xml:space="preserve">spurious opportunities for overlap. Section 5.3 quantifies the effect on the null.</w:t>
      </w:r>
    </w:p>
    <w:bookmarkStart w:id="35" w:name="rank-and-fitting-budget"/>
    <w:p>
      <w:pPr>
        <w:pStyle w:val="Heading2"/>
      </w:pPr>
      <w:r>
        <w:t xml:space="preserve">3.1 Rank and fitting budget</w:t>
      </w:r>
    </w:p>
    <w:p>
      <w:pPr>
        <w:pStyle w:val="FirstParagraph"/>
      </w:pPr>
      <w:r>
        <w:t xml:space="preserve">For an isotropic unit direction in the real traceless-Hermitian space of dimension</w:t>
      </w:r>
      <w:r>
        <w:t xml:space="preserve"> </w:t>
      </w:r>
      <m:oMath>
        <m:r>
          <m:t>m</m:t>
        </m:r>
        <m:r>
          <m:rPr>
            <m:sty m:val="p"/>
          </m:rPr>
          <m:t>=</m:t>
        </m:r>
        <m:sSup>
          <m:e>
            <m:r>
              <m:t>d</m:t>
            </m:r>
          </m:e>
          <m:sup>
            <m:r>
              <m:t>2</m:t>
            </m:r>
          </m:sup>
        </m:sSup>
        <m:r>
          <m:rPr>
            <m:sty m:val="p"/>
          </m:rPr>
          <m:t>−</m:t>
        </m:r>
        <m:r>
          <m:t>1</m:t>
        </m:r>
      </m:oMath>
      <w:r>
        <w:t xml:space="preserve">, an independently fixed rank-</w:t>
      </w:r>
      <m:oMath>
        <m:r>
          <m:t>r</m:t>
        </m:r>
      </m:oMath>
      <w:r>
        <w:t xml:space="preserve"> </w:t>
      </w:r>
      <w:r>
        <w:t xml:space="preserve">orthogonal projector gives</w:t>
      </w:r>
    </w:p>
    <w:p>
      <w:pPr>
        <w:pStyle w:val="BodyText"/>
      </w:pPr>
      <m:oMathPara>
        <m:oMathParaPr>
          <m:jc m:val="center"/>
        </m:oMathParaPr>
        <m:oMath>
          <m:r>
            <m:rPr>
              <m:sty m:val="p"/>
              <m:scr m:val="double-struck"/>
            </m:rPr>
            <m:t>E</m:t>
          </m:r>
          <m:r>
            <m:rPr>
              <m:sty m:val="p"/>
            </m:rPr>
            <m:t>[</m:t>
          </m:r>
          <m:r>
            <m:t>L</m:t>
          </m:r>
          <m:r>
            <m:rPr>
              <m:sty m:val="p"/>
            </m:rPr>
            <m:t>]</m:t>
          </m:r>
          <m:r>
            <m:rPr>
              <m:sty m:val="p"/>
            </m:rPr>
            <m:t>=</m:t>
          </m:r>
          <m:r>
            <m:t>1</m:t>
          </m:r>
          <m:r>
            <m:rPr>
              <m:sty m:val="p"/>
            </m:rPr>
            <m:t>−</m:t>
          </m:r>
          <m:r>
            <m:t>r</m:t>
          </m:r>
          <m:r>
            <m:rPr>
              <m:sty m:val="p"/>
            </m:rPr>
            <m:t>/</m:t>
          </m:r>
          <m:r>
            <m:t>m</m:t>
          </m:r>
          <m:r>
            <m:rPr>
              <m:sty m:val="p"/>
            </m:rPr>
            <m:t>,</m:t>
          </m:r>
          <m:r>
            <m:t>  </m:t>
          </m:r>
          <m:r>
            <m:rPr>
              <m:sty m:val="p"/>
              <m:nor m:val="1"/>
            </m:rPr>
            <w:rPr>
              <w:i w:val="0"/>
            </w:rPr>
            <m:t>Var</m:t>
          </m:r>
          <m:r>
            <m:rPr>
              <m:sty m:val="p"/>
            </m:rPr>
            <m:t>(</m:t>
          </m:r>
          <m:r>
            <m:t>L</m:t>
          </m:r>
          <m:r>
            <m:rPr>
              <m:sty m:val="p"/>
            </m:rPr>
            <m:t>)</m:t>
          </m:r>
          <m:r>
            <m:rPr>
              <m:sty m:val="p"/>
            </m:rPr>
            <m:t>=</m:t>
          </m:r>
          <m:f>
            <m:fPr>
              <m:type m:val="bar"/>
            </m:fPr>
            <m:num>
              <m:r>
                <m:t>2</m:t>
              </m:r>
              <m:r>
                <m:t>r</m:t>
              </m:r>
              <m:r>
                <m:rPr>
                  <m:sty m:val="p"/>
                </m:rPr>
                <m:t>(</m:t>
              </m:r>
              <m:r>
                <m:t>m</m:t>
              </m:r>
              <m:r>
                <m:rPr>
                  <m:sty m:val="p"/>
                </m:rPr>
                <m:t>−</m:t>
              </m:r>
              <m:r>
                <m:t>r</m:t>
              </m:r>
              <m:r>
                <m:rPr>
                  <m:sty m:val="p"/>
                </m:rPr>
                <m:t>)</m:t>
              </m:r>
            </m:num>
            <m:den>
              <m:sSup>
                <m:e>
                  <m:r>
                    <m:t>m</m:t>
                  </m:r>
                </m:e>
                <m:sup>
                  <m:r>
                    <m:t>2</m:t>
                  </m:r>
                </m:sup>
              </m:sSup>
              <m:r>
                <m:rPr>
                  <m:sty m:val="p"/>
                </m:rPr>
                <m:t>(</m:t>
              </m:r>
              <m:r>
                <m:t>m</m:t>
              </m:r>
              <m:r>
                <m:rPr>
                  <m:sty m:val="p"/>
                </m:rPr>
                <m:t>+</m:t>
              </m:r>
              <m:r>
                <m:t>2</m:t>
              </m:r>
              <m:r>
                <m:rPr>
                  <m:sty m:val="p"/>
                </m:rPr>
                <m:t>)</m:t>
              </m:r>
            </m:den>
          </m:f>
          <m:r>
            <m:rPr>
              <m:sty m:val="p"/>
            </m:rPr>
            <m:t>.</m:t>
          </m:r>
        </m:oMath>
      </m:oMathPara>
    </w:p>
    <w:p>
      <w:pPr>
        <w:pStyle w:val="FirstParagraph"/>
      </w:pPr>
      <w:r>
        <w:t xml:space="preserve">The mean follows from the isotropic second moment; the variance follows from the beta distribution of a projected spherical direction. A Haar-conjugated fixed traceless Hamiltonian has the same mean by adjoint irreducibility, but need not have that spherical variance. Fitting a projector to the same Hamiltonian changes the selection problem. Rank, admissible graphs and search effort must therefore be controlled or reported. A larger operator span is not evidence of a more meaningful recovered geometry merely because it leaves a smaller residual.</w:t>
      </w:r>
    </w:p>
    <w:bookmarkEnd w:id="35"/>
    <w:bookmarkEnd w:id="36"/>
    <w:bookmarkStart w:id="40" w:name="preparation-constraints"/>
    <w:p>
      <w:pPr>
        <w:pStyle w:val="Heading1"/>
      </w:pPr>
      <w:r>
        <w:t xml:space="preserve">4. Preparation constraints</w:t>
      </w:r>
    </w:p>
    <w:bookmarkStart w:id="37" w:name="X21e146742732c212f60ab24d34e16388a7dbdd8"/>
    <w:p>
      <w:pPr>
        <w:pStyle w:val="Heading2"/>
      </w:pPr>
      <w:r>
        <w:t xml:space="preserve">4.1 Proposition 1: covariance and stationarity</w:t>
      </w:r>
    </w:p>
    <w:p>
      <w:pPr>
        <w:pStyle w:val="FirstParagraph"/>
      </w:pPr>
      <w:r>
        <w:t xml:space="preserve">Let</w:t>
      </w:r>
      <w:r>
        <w:t xml:space="preserve"> </w:t>
      </w:r>
      <m:oMath>
        <m:r>
          <m:t>F</m:t>
        </m:r>
      </m:oMath>
      <w:r>
        <w:t xml:space="preserve"> </w:t>
      </w:r>
      <w:r>
        <w:t xml:space="preserve">be a deterministic rule assigning a density operator to a Hamiltonian on</w:t>
      </w:r>
      <w:r>
        <w:t xml:space="preserve"> </w:t>
      </w:r>
      <m:oMath>
        <m:sSub>
          <m:e>
            <m:r>
              <m:rPr>
                <m:sty m:val="p"/>
                <m:scr m:val="script"/>
              </m:rPr>
              <m:t>H</m:t>
            </m:r>
          </m:e>
          <m:sub>
            <m:r>
              <m:t>S</m:t>
            </m:r>
          </m:sub>
        </m:sSub>
      </m:oMath>
      <w:r>
        <w:t xml:space="preserve">, and write</w:t>
      </w:r>
      <w:r>
        <w:t xml:space="preserve"> </w:t>
      </w:r>
      <m:oMath>
        <m:sSub>
          <m:e>
            <m:r>
              <m:t>U</m:t>
            </m:r>
          </m:e>
          <m:sub>
            <m:r>
              <m:t>t</m:t>
            </m:r>
          </m:sub>
        </m:sSub>
        <m:r>
          <m:rPr>
            <m:sty m:val="p"/>
          </m:rPr>
          <m:t>=</m:t>
        </m:r>
        <m:sSup>
          <m:e>
            <m:r>
              <m:t>e</m:t>
            </m:r>
          </m:e>
          <m:sup>
            <m:r>
              <m:rPr>
                <m:sty m:val="p"/>
              </m:rPr>
              <m:t>−</m:t>
            </m:r>
            <m:r>
              <m:t>i</m:t>
            </m:r>
            <m:r>
              <m:t>H</m:t>
            </m:r>
            <m:r>
              <m:t>t</m:t>
            </m:r>
          </m:sup>
        </m:sSup>
      </m:oMath>
      <w:r>
        <w:t xml:space="preserve">.</w:t>
      </w:r>
    </w:p>
    <w:p>
      <w:pPr>
        <w:pStyle w:val="BodyText"/>
      </w:pPr>
      <w:r>
        <w:rPr>
          <w:b/>
          <w:bCs/>
        </w:rPr>
        <w:t xml:space="preserve">Proposition 1.</w:t>
      </w:r>
    </w:p>
    <w:p>
      <w:pPr>
        <w:numPr>
          <w:ilvl w:val="0"/>
          <w:numId w:val="1003"/>
        </w:numPr>
      </w:pPr>
      <m:oMath>
        <m:r>
          <m:t>F</m:t>
        </m:r>
      </m:oMath>
      <w:r>
        <w:t xml:space="preserve"> </w:t>
      </w:r>
      <w:r>
        <w:t xml:space="preserve">is covariant under the flow of</w:t>
      </w:r>
      <w:r>
        <w:t xml:space="preserve"> </w:t>
      </w:r>
      <m:oMath>
        <m:r>
          <m:t>H</m:t>
        </m:r>
      </m:oMath>
      <w:r>
        <w:t xml:space="preserve">, that is</w:t>
      </w:r>
      <w:r>
        <w:t xml:space="preserve"> </w:t>
      </w:r>
      <m:oMath>
        <m:r>
          <m:t>F</m:t>
        </m:r>
        <m:r>
          <m:rPr>
            <m:sty m:val="p"/>
          </m:rPr>
          <m:t>(</m:t>
        </m:r>
        <m:sSub>
          <m:e>
            <m:r>
              <m:t>U</m:t>
            </m:r>
          </m:e>
          <m:sub>
            <m:r>
              <m:t>t</m:t>
            </m:r>
          </m:sub>
        </m:sSub>
        <m:r>
          <m:t>H</m:t>
        </m:r>
        <m:sSubSup>
          <m:e>
            <m:r>
              <m:t>U</m:t>
            </m:r>
          </m:e>
          <m:sub>
            <m:r>
              <m:t>t</m:t>
            </m:r>
          </m:sub>
          <m:sup>
            <m:r>
              <m:rPr>
                <m:sty m:val="p"/>
              </m:rPr>
              <m:t>†</m:t>
            </m:r>
          </m:sup>
        </m:sSubSup>
        <m:r>
          <m:rPr>
            <m:sty m:val="p"/>
          </m:rPr>
          <m:t>)</m:t>
        </m:r>
        <m:r>
          <m:rPr>
            <m:sty m:val="p"/>
          </m:rPr>
          <m:t>=</m:t>
        </m:r>
        <m:sSub>
          <m:e>
            <m:r>
              <m:t>U</m:t>
            </m:r>
          </m:e>
          <m:sub>
            <m:r>
              <m:t>t</m:t>
            </m:r>
          </m:sub>
        </m:sSub>
        <m:r>
          <m:t>F</m:t>
        </m:r>
        <m:r>
          <m:rPr>
            <m:sty m:val="p"/>
          </m:rPr>
          <m:t>(</m:t>
        </m:r>
        <m:r>
          <m:t>H</m:t>
        </m:r>
        <m:r>
          <m:rPr>
            <m:sty m:val="p"/>
          </m:rPr>
          <m:t>)</m:t>
        </m:r>
        <m:sSubSup>
          <m:e>
            <m:r>
              <m:t>U</m:t>
            </m:r>
          </m:e>
          <m:sub>
            <m:r>
              <m:t>t</m:t>
            </m:r>
          </m:sub>
          <m:sup>
            <m:r>
              <m:rPr>
                <m:sty m:val="p"/>
              </m:rPr>
              <m:t>†</m:t>
            </m:r>
          </m:sup>
        </m:sSubSup>
      </m:oMath>
      <w:r>
        <w:t xml:space="preserve"> </w:t>
      </w:r>
      <w:r>
        <w:t xml:space="preserve">for all</w:t>
      </w:r>
      <w:r>
        <w:t xml:space="preserve"> </w:t>
      </w:r>
      <m:oMath>
        <m:r>
          <m:t>t</m:t>
        </m:r>
      </m:oMath>
      <w:r>
        <w:t xml:space="preserve">, if and only if</w:t>
      </w:r>
      <w:r>
        <w:t xml:space="preserve"> </w:t>
      </w:r>
      <m:oMath>
        <m:r>
          <m:rPr>
            <m:sty m:val="p"/>
          </m:rPr>
          <m:t>[</m:t>
        </m:r>
        <m:r>
          <m:t>F</m:t>
        </m:r>
        <m:r>
          <m:rPr>
            <m:sty m:val="p"/>
          </m:rPr>
          <m:t>(</m:t>
        </m:r>
        <m:r>
          <m:t>H</m:t>
        </m:r>
        <m:r>
          <m:rPr>
            <m:sty m:val="p"/>
          </m:rPr>
          <m:t>)</m:t>
        </m:r>
        <m:r>
          <m:rPr>
            <m:sty m:val="p"/>
          </m:rPr>
          <m:t>,</m:t>
        </m:r>
        <m:r>
          <m:t>H</m:t>
        </m:r>
        <m:r>
          <m:rPr>
            <m:sty m:val="p"/>
          </m:rPr>
          <m:t>]</m:t>
        </m:r>
        <m:r>
          <m:rPr>
            <m:sty m:val="p"/>
          </m:rPr>
          <m:t>=</m:t>
        </m:r>
        <m:r>
          <m:t>0</m:t>
        </m:r>
      </m:oMath>
      <w:r>
        <w:t xml:space="preserve">, which is the statement that</w:t>
      </w:r>
      <w:r>
        <w:t xml:space="preserve"> </w:t>
      </w:r>
      <m:oMath>
        <m:r>
          <m:t>F</m:t>
        </m:r>
        <m:r>
          <m:rPr>
            <m:sty m:val="p"/>
          </m:rPr>
          <m:t>(</m:t>
        </m:r>
        <m:r>
          <m:t>H</m:t>
        </m:r>
        <m:r>
          <m:rPr>
            <m:sty m:val="p"/>
          </m:rPr>
          <m:t>)</m:t>
        </m:r>
      </m:oMath>
      <w:r>
        <w:t xml:space="preserve"> </w:t>
      </w:r>
      <w:r>
        <w:t xml:space="preserve">is stationary under</w:t>
      </w:r>
      <w:r>
        <w:t xml:space="preserve"> </w:t>
      </w:r>
      <m:oMath>
        <m:sSub>
          <m:e>
            <m:r>
              <m:t>U</m:t>
            </m:r>
          </m:e>
          <m:sub>
            <m:r>
              <m:t>t</m:t>
            </m:r>
          </m:sub>
        </m:sSub>
      </m:oMath>
      <w:r>
        <w:t xml:space="preserve">.</w:t>
      </w:r>
    </w:p>
    <w:p>
      <w:pPr>
        <w:numPr>
          <w:ilvl w:val="0"/>
          <w:numId w:val="1003"/>
        </w:numPr>
      </w:pPr>
      <w:r>
        <w:t xml:space="preserve">If</w:t>
      </w:r>
      <w:r>
        <w:t xml:space="preserve"> </w:t>
      </w:r>
      <m:oMath>
        <m:r>
          <m:t>F</m:t>
        </m:r>
      </m:oMath>
      <w:r>
        <w:t xml:space="preserve"> </w:t>
      </w:r>
      <w:r>
        <w:t xml:space="preserve">is covariant under all unitaries,</w:t>
      </w:r>
      <w:r>
        <w:t xml:space="preserve"> </w:t>
      </w:r>
      <m:oMath>
        <m:r>
          <m:t>F</m:t>
        </m:r>
        <m:r>
          <m:rPr>
            <m:sty m:val="p"/>
          </m:rPr>
          <m:t>(</m:t>
        </m:r>
        <m:r>
          <m:t>U</m:t>
        </m:r>
        <m:r>
          <m:t>H</m:t>
        </m:r>
        <m:sSup>
          <m:e>
            <m:r>
              <m:t>U</m:t>
            </m:r>
          </m:e>
          <m:sup>
            <m:r>
              <m:rPr>
                <m:sty m:val="p"/>
              </m:rPr>
              <m:t>†</m:t>
            </m:r>
          </m:sup>
        </m:sSup>
        <m:r>
          <m:rPr>
            <m:sty m:val="p"/>
          </m:rPr>
          <m:t>)</m:t>
        </m:r>
        <m:r>
          <m:rPr>
            <m:sty m:val="p"/>
          </m:rPr>
          <m:t>=</m:t>
        </m:r>
        <m:r>
          <m:t>U</m:t>
        </m:r>
        <m:r>
          <m:t>F</m:t>
        </m:r>
        <m:r>
          <m:rPr>
            <m:sty m:val="p"/>
          </m:rPr>
          <m:t>(</m:t>
        </m:r>
        <m:r>
          <m:t>H</m:t>
        </m:r>
        <m:r>
          <m:rPr>
            <m:sty m:val="p"/>
          </m:rPr>
          <m:t>)</m:t>
        </m:r>
        <m:sSup>
          <m:e>
            <m:r>
              <m:t>U</m:t>
            </m:r>
          </m:e>
          <m:sup>
            <m:r>
              <m:rPr>
                <m:sty m:val="p"/>
              </m:rPr>
              <m:t>†</m:t>
            </m:r>
          </m:sup>
        </m:sSup>
      </m:oMath>
      <w:r>
        <w:t xml:space="preserve">, then</w:t>
      </w:r>
      <w:r>
        <w:t xml:space="preserve"> </w:t>
      </w:r>
      <m:oMath>
        <m:r>
          <m:t>F</m:t>
        </m:r>
        <m:r>
          <m:rPr>
            <m:sty m:val="p"/>
          </m:rPr>
          <m:t>(</m:t>
        </m:r>
        <m:r>
          <m:t>H</m:t>
        </m:r>
        <m:r>
          <m:rPr>
            <m:sty m:val="p"/>
          </m:rPr>
          <m:t>)</m:t>
        </m:r>
        <m:r>
          <m:rPr>
            <m:sty m:val="p"/>
          </m:rPr>
          <m:t>=</m:t>
        </m:r>
        <m:nary>
          <m:naryPr>
            <m:chr m:val="∑"/>
            <m:limLoc m:val="undOvr"/>
            <m:subHide m:val="off"/>
            <m:supHide m:val="on"/>
          </m:naryPr>
          <m:sub>
            <m:r>
              <m:t>λ</m:t>
            </m:r>
          </m:sub>
          <m:sup>
            <m:r>
              <m:t>​</m:t>
            </m:r>
          </m:sup>
          <m:e>
            <m:sSub>
              <m:e>
                <m:r>
                  <m:t>f</m:t>
                </m:r>
              </m:e>
              <m:sub>
                <m:r>
                  <m:t>λ</m:t>
                </m:r>
              </m:sub>
            </m:sSub>
          </m:e>
        </m:nary>
        <m:sSub>
          <m:e>
            <m:r>
              <m:t>P</m:t>
            </m:r>
          </m:e>
          <m:sub>
            <m:r>
              <m:t>λ</m:t>
            </m:r>
          </m:sub>
        </m:sSub>
      </m:oMath>
      <w:r>
        <w:t xml:space="preserve">, where</w:t>
      </w:r>
      <w:r>
        <w:t xml:space="preserve"> </w:t>
      </w:r>
      <m:oMath>
        <m:r>
          <m:t>H</m:t>
        </m:r>
        <m:r>
          <m:rPr>
            <m:sty m:val="p"/>
          </m:rPr>
          <m:t>=</m:t>
        </m:r>
        <m:nary>
          <m:naryPr>
            <m:chr m:val="∑"/>
            <m:limLoc m:val="undOvr"/>
            <m:subHide m:val="off"/>
            <m:supHide m:val="on"/>
          </m:naryPr>
          <m:sub>
            <m:r>
              <m:t>λ</m:t>
            </m:r>
          </m:sub>
          <m:sup>
            <m:r>
              <m:t>​</m:t>
            </m:r>
          </m:sup>
          <m:e>
            <m:r>
              <m:t>λ</m:t>
            </m:r>
          </m:e>
        </m:nary>
        <m:sSub>
          <m:e>
            <m:r>
              <m:t>P</m:t>
            </m:r>
          </m:e>
          <m:sub>
            <m:r>
              <m:t>λ</m:t>
            </m:r>
          </m:sub>
        </m:sSub>
      </m:oMath>
      <w:r>
        <w:t xml:space="preserve"> </w:t>
      </w:r>
      <w:r>
        <w:t xml:space="preserve">is the spectral decomposition. In particular</w:t>
      </w:r>
      <w:r>
        <w:t xml:space="preserve"> </w:t>
      </w:r>
      <m:oMath>
        <m:r>
          <m:t>F</m:t>
        </m:r>
        <m:r>
          <m:rPr>
            <m:sty m:val="p"/>
          </m:rPr>
          <m:t>(</m:t>
        </m:r>
        <m:r>
          <m:t>H</m:t>
        </m:r>
        <m:r>
          <m:rPr>
            <m:sty m:val="p"/>
          </m:rPr>
          <m:t>)</m:t>
        </m:r>
      </m:oMath>
      <w:r>
        <w:t xml:space="preserve"> </w:t>
      </w:r>
      <w:r>
        <w:t xml:space="preserve">is stationary and is uniform on each degenerate eigenspace.</w:t>
      </w:r>
    </w:p>
    <w:p>
      <w:pPr>
        <w:numPr>
          <w:ilvl w:val="0"/>
          <w:numId w:val="1003"/>
        </w:numPr>
      </w:pPr>
      <w:r>
        <w:t xml:space="preserve">A rule that selects a pure state inside a degenerate eigenspace can be stationary without being covariant under all unitaries.</w:t>
      </w:r>
    </w:p>
    <w:p>
      <w:pPr>
        <w:pStyle w:val="FirstParagraph"/>
      </w:pPr>
      <w:r>
        <w:rPr>
          <w:i/>
          <w:iCs/>
        </w:rPr>
        <w:t xml:space="preserve">Proof.</w:t>
      </w:r>
      <w:r>
        <w:t xml:space="preserve"> </w:t>
      </w:r>
      <w:r>
        <w:t xml:space="preserve">(a) Since</w:t>
      </w:r>
      <w:r>
        <w:t xml:space="preserve"> </w:t>
      </w:r>
      <m:oMath>
        <m:sSub>
          <m:e>
            <m:r>
              <m:t>U</m:t>
            </m:r>
          </m:e>
          <m:sub>
            <m:r>
              <m:t>t</m:t>
            </m:r>
          </m:sub>
        </m:sSub>
        <m:r>
          <m:t>H</m:t>
        </m:r>
        <m:sSubSup>
          <m:e>
            <m:r>
              <m:t>U</m:t>
            </m:r>
          </m:e>
          <m:sub>
            <m:r>
              <m:t>t</m:t>
            </m:r>
          </m:sub>
          <m:sup>
            <m:r>
              <m:rPr>
                <m:sty m:val="p"/>
              </m:rPr>
              <m:t>†</m:t>
            </m:r>
          </m:sup>
        </m:sSubSup>
        <m:r>
          <m:rPr>
            <m:sty m:val="p"/>
          </m:rPr>
          <m:t>=</m:t>
        </m:r>
        <m:r>
          <m:t>H</m:t>
        </m:r>
      </m:oMath>
      <w:r>
        <w:t xml:space="preserve">, flow covariance reads</w:t>
      </w:r>
      <w:r>
        <w:t xml:space="preserve"> </w:t>
      </w:r>
      <m:oMath>
        <m:r>
          <m:t>F</m:t>
        </m:r>
        <m:r>
          <m:rPr>
            <m:sty m:val="p"/>
          </m:rPr>
          <m:t>(</m:t>
        </m:r>
        <m:r>
          <m:t>H</m:t>
        </m:r>
        <m:r>
          <m:rPr>
            <m:sty m:val="p"/>
          </m:rPr>
          <m:t>)</m:t>
        </m:r>
        <m:r>
          <m:rPr>
            <m:sty m:val="p"/>
          </m:rPr>
          <m:t>=</m:t>
        </m:r>
        <m:sSub>
          <m:e>
            <m:r>
              <m:t>U</m:t>
            </m:r>
          </m:e>
          <m:sub>
            <m:r>
              <m:t>t</m:t>
            </m:r>
          </m:sub>
        </m:sSub>
        <m:r>
          <m:t>F</m:t>
        </m:r>
        <m:r>
          <m:rPr>
            <m:sty m:val="p"/>
          </m:rPr>
          <m:t>(</m:t>
        </m:r>
        <m:r>
          <m:t>H</m:t>
        </m:r>
        <m:r>
          <m:rPr>
            <m:sty m:val="p"/>
          </m:rPr>
          <m:t>)</m:t>
        </m:r>
        <m:sSubSup>
          <m:e>
            <m:r>
              <m:t>U</m:t>
            </m:r>
          </m:e>
          <m:sub>
            <m:r>
              <m:t>t</m:t>
            </m:r>
          </m:sub>
          <m:sup>
            <m:r>
              <m:rPr>
                <m:sty m:val="p"/>
              </m:rPr>
              <m:t>†</m:t>
            </m:r>
          </m:sup>
        </m:sSubSup>
      </m:oMath>
      <w:r>
        <w:t xml:space="preserve"> </w:t>
      </w:r>
      <w:r>
        <w:t xml:space="preserve">for all</w:t>
      </w:r>
      <w:r>
        <w:t xml:space="preserve"> </w:t>
      </w:r>
      <m:oMath>
        <m:r>
          <m:t>t</m:t>
        </m:r>
      </m:oMath>
      <w:r>
        <w:t xml:space="preserve">. Differentiating at</w:t>
      </w:r>
      <w:r>
        <w:t xml:space="preserve"> </w:t>
      </w:r>
      <m:oMath>
        <m:r>
          <m:t>t</m:t>
        </m:r>
        <m:r>
          <m:rPr>
            <m:sty m:val="p"/>
          </m:rPr>
          <m:t>=</m:t>
        </m:r>
        <m:r>
          <m:t>0</m:t>
        </m:r>
      </m:oMath>
      <w:r>
        <w:t xml:space="preserve"> </w:t>
      </w:r>
      <w:r>
        <w:t xml:space="preserve">gives</w:t>
      </w:r>
      <w:r>
        <w:t xml:space="preserve"> </w:t>
      </w:r>
      <m:oMath>
        <m:r>
          <m:rPr>
            <m:sty m:val="p"/>
          </m:rPr>
          <m:t>[</m:t>
        </m:r>
        <m:r>
          <m:t>H</m:t>
        </m:r>
        <m:r>
          <m:rPr>
            <m:sty m:val="p"/>
          </m:rPr>
          <m:t>,</m:t>
        </m:r>
        <m:r>
          <m:t>F</m:t>
        </m:r>
        <m:r>
          <m:rPr>
            <m:sty m:val="p"/>
          </m:rPr>
          <m:t>(</m:t>
        </m:r>
        <m:r>
          <m:t>H</m:t>
        </m:r>
        <m:r>
          <m:rPr>
            <m:sty m:val="p"/>
          </m:rPr>
          <m:t>)</m:t>
        </m:r>
        <m:r>
          <m:rPr>
            <m:sty m:val="p"/>
          </m:rPr>
          <m:t>]</m:t>
        </m:r>
        <m:r>
          <m:rPr>
            <m:sty m:val="p"/>
          </m:rPr>
          <m:t>=</m:t>
        </m:r>
        <m:r>
          <m:t>0</m:t>
        </m:r>
      </m:oMath>
      <w:r>
        <w:t xml:space="preserve">. Conversely, if</w:t>
      </w:r>
      <w:r>
        <w:t xml:space="preserve"> </w:t>
      </w:r>
      <m:oMath>
        <m:r>
          <m:t>F</m:t>
        </m:r>
        <m:r>
          <m:rPr>
            <m:sty m:val="p"/>
          </m:rPr>
          <m:t>(</m:t>
        </m:r>
        <m:r>
          <m:t>H</m:t>
        </m:r>
        <m:r>
          <m:rPr>
            <m:sty m:val="p"/>
          </m:rPr>
          <m:t>)</m:t>
        </m:r>
      </m:oMath>
      <w:r>
        <w:t xml:space="preserve"> </w:t>
      </w:r>
      <w:r>
        <w:t xml:space="preserve">commutes with</w:t>
      </w:r>
      <w:r>
        <w:t xml:space="preserve"> </w:t>
      </w:r>
      <m:oMath>
        <m:r>
          <m:t>H</m:t>
        </m:r>
      </m:oMath>
      <w:r>
        <w:t xml:space="preserve"> </w:t>
      </w:r>
      <w:r>
        <w:t xml:space="preserve">it commutes with every</w:t>
      </w:r>
      <w:r>
        <w:t xml:space="preserve"> </w:t>
      </w:r>
      <m:oMath>
        <m:sSub>
          <m:e>
            <m:r>
              <m:t>U</m:t>
            </m:r>
          </m:e>
          <m:sub>
            <m:r>
              <m:t>t</m:t>
            </m:r>
          </m:sub>
        </m:sSub>
      </m:oMath>
      <w:r>
        <w:t xml:space="preserve">. (b) For any unitary</w:t>
      </w:r>
      <w:r>
        <w:t xml:space="preserve"> </w:t>
      </w:r>
      <m:oMath>
        <m:r>
          <m:t>U</m:t>
        </m:r>
      </m:oMath>
      <w:r>
        <w:t xml:space="preserve"> </w:t>
      </w:r>
      <w:r>
        <w:t xml:space="preserve">with</w:t>
      </w:r>
      <w:r>
        <w:t xml:space="preserve"> </w:t>
      </w:r>
      <m:oMath>
        <m:r>
          <m:rPr>
            <m:sty m:val="p"/>
          </m:rPr>
          <m:t>[</m:t>
        </m:r>
        <m:r>
          <m:t>U</m:t>
        </m:r>
        <m:r>
          <m:rPr>
            <m:sty m:val="p"/>
          </m:rPr>
          <m:t>,</m:t>
        </m:r>
        <m:r>
          <m:t>H</m:t>
        </m:r>
        <m:r>
          <m:rPr>
            <m:sty m:val="p"/>
          </m:rPr>
          <m:t>]</m:t>
        </m:r>
        <m:r>
          <m:rPr>
            <m:sty m:val="p"/>
          </m:rPr>
          <m:t>=</m:t>
        </m:r>
        <m:r>
          <m:t>0</m:t>
        </m:r>
      </m:oMath>
      <w:r>
        <w:t xml:space="preserve">, covariance gives</w:t>
      </w:r>
      <w:r>
        <w:t xml:space="preserve"> </w:t>
      </w:r>
      <m:oMath>
        <m:r>
          <m:t>F</m:t>
        </m:r>
        <m:r>
          <m:rPr>
            <m:sty m:val="p"/>
          </m:rPr>
          <m:t>(</m:t>
        </m:r>
        <m:r>
          <m:t>H</m:t>
        </m:r>
        <m:r>
          <m:rPr>
            <m:sty m:val="p"/>
          </m:rPr>
          <m:t>)</m:t>
        </m:r>
        <m:r>
          <m:rPr>
            <m:sty m:val="p"/>
          </m:rPr>
          <m:t>=</m:t>
        </m:r>
        <m:r>
          <m:t>F</m:t>
        </m:r>
        <m:r>
          <m:rPr>
            <m:sty m:val="p"/>
          </m:rPr>
          <m:t>(</m:t>
        </m:r>
        <m:r>
          <m:t>U</m:t>
        </m:r>
        <m:r>
          <m:t>H</m:t>
        </m:r>
        <m:sSup>
          <m:e>
            <m:r>
              <m:t>U</m:t>
            </m:r>
          </m:e>
          <m:sup>
            <m:r>
              <m:rPr>
                <m:sty m:val="p"/>
              </m:rPr>
              <m:t>†</m:t>
            </m:r>
          </m:sup>
        </m:sSup>
        <m:r>
          <m:rPr>
            <m:sty m:val="p"/>
          </m:rPr>
          <m:t>)</m:t>
        </m:r>
        <m:r>
          <m:rPr>
            <m:sty m:val="p"/>
          </m:rPr>
          <m:t>=</m:t>
        </m:r>
        <m:r>
          <m:t>U</m:t>
        </m:r>
        <m:r>
          <m:t>F</m:t>
        </m:r>
        <m:r>
          <m:rPr>
            <m:sty m:val="p"/>
          </m:rPr>
          <m:t>(</m:t>
        </m:r>
        <m:r>
          <m:t>H</m:t>
        </m:r>
        <m:r>
          <m:rPr>
            <m:sty m:val="p"/>
          </m:rPr>
          <m:t>)</m:t>
        </m:r>
        <m:sSup>
          <m:e>
            <m:r>
              <m:t>U</m:t>
            </m:r>
          </m:e>
          <m:sup>
            <m:r>
              <m:rPr>
                <m:sty m:val="p"/>
              </m:rPr>
              <m:t>†</m:t>
            </m:r>
          </m:sup>
        </m:sSup>
      </m:oMath>
      <w:r>
        <w:t xml:space="preserve">. So</w:t>
      </w:r>
      <w:r>
        <w:t xml:space="preserve"> </w:t>
      </w:r>
      <m:oMath>
        <m:r>
          <m:t>F</m:t>
        </m:r>
        <m:r>
          <m:rPr>
            <m:sty m:val="p"/>
          </m:rPr>
          <m:t>(</m:t>
        </m:r>
        <m:r>
          <m:t>H</m:t>
        </m:r>
        <m:r>
          <m:rPr>
            <m:sty m:val="p"/>
          </m:rPr>
          <m:t>)</m:t>
        </m:r>
      </m:oMath>
      <w:r>
        <w:t xml:space="preserve"> </w:t>
      </w:r>
      <w:r>
        <w:t xml:space="preserve">lies in the commutant of the commutant of</w:t>
      </w:r>
      <w:r>
        <w:t xml:space="preserve"> </w:t>
      </w:r>
      <m:oMath>
        <m:r>
          <m:rPr>
            <m:sty m:val="p"/>
          </m:rPr>
          <m:t>{</m:t>
        </m:r>
        <m:r>
          <m:t>H</m:t>
        </m:r>
        <m:r>
          <m:rPr>
            <m:sty m:val="p"/>
          </m:rPr>
          <m:t>}</m:t>
        </m:r>
      </m:oMath>
      <w:r>
        <w:t xml:space="preserve">. The commutant of</w:t>
      </w:r>
      <w:r>
        <w:t xml:space="preserve"> </w:t>
      </w:r>
      <m:oMath>
        <m:r>
          <m:rPr>
            <m:sty m:val="p"/>
          </m:rPr>
          <m:t>{</m:t>
        </m:r>
        <m:r>
          <m:t>H</m:t>
        </m:r>
        <m:r>
          <m:rPr>
            <m:sty m:val="p"/>
          </m:rPr>
          <m:t>}</m:t>
        </m:r>
      </m:oMath>
      <w:r>
        <w:t xml:space="preserve"> </w:t>
      </w:r>
      <w:r>
        <w:t xml:space="preserve">is</w:t>
      </w:r>
      <w:r>
        <w:t xml:space="preserve"> </w:t>
      </w:r>
      <m:oMath>
        <m:sSub>
          <m:e>
            <m:r>
              <m:rPr>
                <m:sty m:val="p"/>
              </m:rPr>
              <m:t>⨁</m:t>
            </m:r>
          </m:e>
          <m:sub>
            <m:r>
              <m:t>λ</m:t>
            </m:r>
          </m:sub>
        </m:sSub>
        <m:r>
          <m:rPr>
            <m:sty m:val="p"/>
            <m:scr m:val="script"/>
          </m:rPr>
          <m:t>B</m:t>
        </m:r>
        <m:r>
          <m:rPr>
            <m:sty m:val="p"/>
          </m:rPr>
          <m:t>(</m:t>
        </m:r>
        <m:sSub>
          <m:e>
            <m:r>
              <m:t>E</m:t>
            </m:r>
          </m:e>
          <m:sub>
            <m:r>
              <m:t>λ</m:t>
            </m:r>
          </m:sub>
        </m:sSub>
        <m:r>
          <m:rPr>
            <m:sty m:val="p"/>
          </m:rPr>
          <m:t>)</m:t>
        </m:r>
      </m:oMath>
      <w:r>
        <w:t xml:space="preserve"> </w:t>
      </w:r>
      <w:r>
        <w:t xml:space="preserve">for the eigenspaces</w:t>
      </w:r>
      <w:r>
        <w:t xml:space="preserve"> </w:t>
      </w:r>
      <m:oMath>
        <m:sSub>
          <m:e>
            <m:r>
              <m:t>E</m:t>
            </m:r>
          </m:e>
          <m:sub>
            <m:r>
              <m:t>λ</m:t>
            </m:r>
          </m:sub>
        </m:sSub>
      </m:oMath>
      <w:r>
        <w:t xml:space="preserve">; its commutant is</w:t>
      </w:r>
      <w:r>
        <w:t xml:space="preserve"> </w:t>
      </w:r>
      <m:oMath>
        <m:r>
          <m:rPr>
            <m:sty m:val="p"/>
            <m:nor m:val="1"/>
          </m:rPr>
          <w:rPr>
            <w:i w:val="0"/>
          </w:rPr>
          <m:t>span</m:t>
        </m:r>
        <m:r>
          <m:rPr>
            <m:sty m:val="p"/>
          </m:rPr>
          <m:t>{</m:t>
        </m:r>
        <m:sSub>
          <m:e>
            <m:r>
              <m:t>P</m:t>
            </m:r>
          </m:e>
          <m:sub>
            <m:r>
              <m:t>λ</m:t>
            </m:r>
          </m:sub>
        </m:sSub>
        <m:r>
          <m:rPr>
            <m:sty m:val="p"/>
          </m:rPr>
          <m:t>}</m:t>
        </m:r>
      </m:oMath>
      <w:r>
        <w:t xml:space="preserve">. (c) Take</w:t>
      </w:r>
      <w:r>
        <w:t xml:space="preserve"> </w:t>
      </w:r>
      <m:oMath>
        <m:r>
          <m:t>H</m:t>
        </m:r>
        <m:r>
          <m:rPr>
            <m:sty m:val="p"/>
          </m:rPr>
          <m:t>=</m:t>
        </m:r>
        <m:r>
          <m:rPr>
            <m:sty m:val="p"/>
            <m:nor m:val="1"/>
          </m:rPr>
          <w:rPr>
            <w:i w:val="0"/>
          </w:rPr>
          <m:t>diag</m:t>
        </m:r>
        <m:r>
          <m:rPr>
            <m:sty m:val="p"/>
          </m:rPr>
          <m:t>(</m:t>
        </m:r>
        <m:r>
          <m:t>0</m:t>
        </m:r>
        <m:r>
          <m:rPr>
            <m:sty m:val="p"/>
          </m:rPr>
          <m:t>,</m:t>
        </m:r>
        <m:r>
          <m:t>0</m:t>
        </m:r>
        <m:r>
          <m:rPr>
            <m:sty m:val="p"/>
          </m:rPr>
          <m:t>,</m:t>
        </m:r>
        <m:r>
          <m:t>1</m:t>
        </m:r>
        <m:r>
          <m:rPr>
            <m:sty m:val="p"/>
          </m:rPr>
          <m:t>,</m:t>
        </m:r>
        <m:r>
          <m:t>2</m:t>
        </m:r>
        <m:r>
          <m:rPr>
            <m:sty m:val="p"/>
          </m:rPr>
          <m:t>)</m:t>
        </m:r>
      </m:oMath>
      <w:r>
        <w:t xml:space="preserve"> </w:t>
      </w:r>
      <w:r>
        <w:t xml:space="preserve">and</w:t>
      </w:r>
      <w:r>
        <w:t xml:space="preserve"> </w:t>
      </w:r>
      <m:oMath>
        <m:r>
          <m:t>ρ</m:t>
        </m:r>
        <m:r>
          <m:rPr>
            <m:sty m:val="p"/>
          </m:rPr>
          <m:t>=</m:t>
        </m:r>
        <m:r>
          <m:rPr>
            <m:sty m:val="p"/>
          </m:rPr>
          <m:t>∣</m:t>
        </m:r>
        <m:r>
          <m:t>g</m:t>
        </m:r>
        <m:r>
          <m:rPr>
            <m:sty m:val="p"/>
          </m:rPr>
          <m:t>⟩</m:t>
        </m:r>
        <m:r>
          <m:rPr>
            <m:sty m:val="p"/>
          </m:rPr>
          <m:t>⟨</m:t>
        </m:r>
        <m:r>
          <m:t>g</m:t>
        </m:r>
        <m:r>
          <m:rPr>
            <m:sty m:val="p"/>
          </m:rPr>
          <m:t>∣</m:t>
        </m:r>
      </m:oMath>
      <w:r>
        <w:t xml:space="preserve"> </w:t>
      </w:r>
      <w:r>
        <w:t xml:space="preserve">with</w:t>
      </w:r>
      <w:r>
        <w:t xml:space="preserve"> </w:t>
      </w:r>
      <m:oMath>
        <m:r>
          <m:rPr>
            <m:sty m:val="p"/>
          </m:rPr>
          <m:t>∣</m:t>
        </m:r>
        <m:r>
          <m:t>g</m:t>
        </m:r>
        <m:r>
          <m:rPr>
            <m:sty m:val="p"/>
          </m:rPr>
          <m:t>⟩</m:t>
        </m:r>
        <m:r>
          <m:rPr>
            <m:sty m:val="p"/>
          </m:rPr>
          <m:t>=</m:t>
        </m:r>
        <m:r>
          <m:rPr>
            <m:sty m:val="p"/>
          </m:rPr>
          <m:t>(</m:t>
        </m:r>
        <m:r>
          <m:rPr>
            <m:sty m:val="p"/>
          </m:rPr>
          <m:t>∣</m:t>
        </m:r>
        <m:r>
          <m:t>0</m:t>
        </m:r>
        <m:r>
          <m:rPr>
            <m:sty m:val="p"/>
          </m:rPr>
          <m:t>⟩</m:t>
        </m:r>
        <m:r>
          <m:rPr>
            <m:sty m:val="p"/>
          </m:rPr>
          <m:t>+</m:t>
        </m:r>
        <m:r>
          <m:rPr>
            <m:sty m:val="p"/>
          </m:rPr>
          <m:t>∣</m:t>
        </m:r>
        <m:r>
          <m:t>1</m:t>
        </m:r>
        <m:r>
          <m:rPr>
            <m:sty m:val="p"/>
          </m:rPr>
          <m:t>⟩</m:t>
        </m:r>
        <m:r>
          <m:rPr>
            <m:sty m:val="p"/>
          </m:rPr>
          <m:t>)</m:t>
        </m:r>
        <m:r>
          <m:rPr>
            <m:sty m:val="p"/>
          </m:rPr>
          <m:t>/</m:t>
        </m:r>
        <m:rad>
          <m:radPr>
            <m:degHide m:val="on"/>
          </m:radPr>
          <m:deg/>
          <m:e>
            <m:r>
              <m:t>2</m:t>
            </m:r>
          </m:e>
        </m:rad>
      </m:oMath>
      <w:r>
        <w:t xml:space="preserve">. Then</w:t>
      </w:r>
      <w:r>
        <w:t xml:space="preserve"> </w:t>
      </w:r>
      <m:oMath>
        <m:r>
          <m:rPr>
            <m:sty m:val="p"/>
          </m:rPr>
          <m:t>[</m:t>
        </m:r>
        <m:r>
          <m:t>ρ</m:t>
        </m:r>
        <m:r>
          <m:rPr>
            <m:sty m:val="p"/>
          </m:rPr>
          <m:t>,</m:t>
        </m:r>
        <m:r>
          <m:t>H</m:t>
        </m:r>
        <m:r>
          <m:rPr>
            <m:sty m:val="p"/>
          </m:rPr>
          <m:t>]</m:t>
        </m:r>
        <m:r>
          <m:rPr>
            <m:sty m:val="p"/>
          </m:rPr>
          <m:t>=</m:t>
        </m:r>
        <m:r>
          <m:t>0</m:t>
        </m:r>
      </m:oMath>
      <w:r>
        <w:t xml:space="preserve">, but the unitary</w:t>
      </w:r>
      <w:r>
        <w:t xml:space="preserve"> </w:t>
      </w:r>
      <m:oMath>
        <m:r>
          <m:t>U</m:t>
        </m:r>
        <m:r>
          <m:rPr>
            <m:sty m:val="p"/>
          </m:rPr>
          <m:t>=</m:t>
        </m:r>
        <m:r>
          <m:rPr>
            <m:sty m:val="p"/>
            <m:nor m:val="1"/>
          </m:rPr>
          <w:rPr>
            <w:i w:val="0"/>
          </w:rPr>
          <m:t>diag</m:t>
        </m:r>
        <m:r>
          <m:rPr>
            <m:sty m:val="p"/>
          </m:rPr>
          <m:t>(</m:t>
        </m:r>
        <m:r>
          <m:t>1</m:t>
        </m:r>
        <m:r>
          <m:rPr>
            <m:sty m:val="p"/>
          </m:rPr>
          <m:t>,</m:t>
        </m:r>
        <m:r>
          <m:rPr>
            <m:sty m:val="p"/>
          </m:rPr>
          <m:t>−</m:t>
        </m:r>
        <m:r>
          <m:t>1</m:t>
        </m:r>
        <m:r>
          <m:rPr>
            <m:sty m:val="p"/>
          </m:rPr>
          <m:t>,</m:t>
        </m:r>
        <m:r>
          <m:t>1</m:t>
        </m:r>
        <m:r>
          <m:rPr>
            <m:sty m:val="p"/>
          </m:rPr>
          <m:t>,</m:t>
        </m:r>
        <m:r>
          <m:t>1</m:t>
        </m:r>
        <m:r>
          <m:rPr>
            <m:sty m:val="p"/>
          </m:rPr>
          <m:t>)</m:t>
        </m:r>
      </m:oMath>
      <w:r>
        <w:t xml:space="preserve"> </w:t>
      </w:r>
      <w:r>
        <w:t xml:space="preserve">commutes with</w:t>
      </w:r>
      <w:r>
        <w:t xml:space="preserve"> </w:t>
      </w:r>
      <m:oMath>
        <m:r>
          <m:t>H</m:t>
        </m:r>
      </m:oMath>
      <w:r>
        <w:t xml:space="preserve"> </w:t>
      </w:r>
      <w:r>
        <w:t xml:space="preserve">and changes</w:t>
      </w:r>
      <w:r>
        <w:t xml:space="preserve"> </w:t>
      </w:r>
      <m:oMath>
        <m:r>
          <m:t>ρ</m:t>
        </m:r>
      </m:oMath>
      <w:r>
        <w:t xml:space="preserve"> </w:t>
      </w:r>
      <w:r>
        <w:t xml:space="preserve">by</w:t>
      </w:r>
      <w:r>
        <w:t xml:space="preserve"> </w:t>
      </w:r>
      <m:oMath>
        <m:r>
          <m:t>1.0</m:t>
        </m:r>
      </m:oMath>
      <w:r>
        <w:t xml:space="preserve"> </w:t>
      </w:r>
      <w:r>
        <w:t xml:space="preserve">in the maximum entry norm, so</w:t>
      </w:r>
      <w:r>
        <w:t xml:space="preserve"> </w:t>
      </w:r>
      <m:oMath>
        <m:r>
          <m:t>ρ</m:t>
        </m:r>
        <m:r>
          <m:rPr>
            <m:sty m:val="p"/>
          </m:rPr>
          <m:t>≠</m:t>
        </m:r>
        <m:r>
          <m:t>F</m:t>
        </m:r>
        <m:r>
          <m:rPr>
            <m:sty m:val="p"/>
          </m:rPr>
          <m:t>(</m:t>
        </m:r>
        <m:r>
          <m:t>U</m:t>
        </m:r>
        <m:r>
          <m:t>H</m:t>
        </m:r>
        <m:sSup>
          <m:e>
            <m:r>
              <m:t>U</m:t>
            </m:r>
          </m:e>
          <m:sup>
            <m:r>
              <m:rPr>
                <m:sty m:val="p"/>
              </m:rPr>
              <m:t>†</m:t>
            </m:r>
          </m:sup>
        </m:sSup>
        <m:r>
          <m:rPr>
            <m:sty m:val="p"/>
          </m:rPr>
          <m:t>)</m:t>
        </m:r>
      </m:oMath>
      <w:r>
        <w:t xml:space="preserve"> </w:t>
      </w:r>
      <w:r>
        <w:t xml:space="preserve">for any all-unitary-covariant rule.</w:t>
      </w:r>
      <w:r>
        <w:t xml:space="preserve"> </w:t>
      </w:r>
      <m:oMath>
        <m:r>
          <m:rPr>
            <m:sty m:val="p"/>
          </m:rPr>
          <m:t>▫</m:t>
        </m:r>
      </m:oMath>
    </w:p>
    <w:p>
      <w:pPr>
        <w:pStyle w:val="BodyText"/>
      </w:pPr>
      <w:r>
        <w:t xml:space="preserve">Part (a) shows that flow covariance adds nothing beyond stationarity. The strong content of all-unitary covariance is (b): the state is scalar inside each degenerate eigenspace. Its coefficients may depend on the complete spectrum; no universal Gibbs form or temperature is forced. Thermal states</w:t>
      </w:r>
      <w:r>
        <w:t xml:space="preserve"> </w:t>
      </w:r>
      <m:oMath>
        <m:sSup>
          <m:e>
            <m:r>
              <m:t>e</m:t>
            </m:r>
          </m:e>
          <m:sup>
            <m:r>
              <m:rPr>
                <m:sty m:val="p"/>
              </m:rPr>
              <m:t>−</m:t>
            </m:r>
            <m:r>
              <m:t>β</m:t>
            </m:r>
            <m:r>
              <m:t>H</m:t>
            </m:r>
          </m:sup>
        </m:sSup>
        <m:r>
          <m:rPr>
            <m:sty m:val="p"/>
          </m:rPr>
          <m:t>/</m:t>
        </m:r>
        <m:r>
          <m:t>Z</m:t>
        </m:r>
      </m:oMath>
      <w:r>
        <w:t xml:space="preserve"> </w:t>
      </w:r>
      <w:r>
        <w:t xml:space="preserve">and normalised ground-space projectors are the familiar examples. An</w:t>
      </w:r>
      <w:r>
        <w:t xml:space="preserve"> </w:t>
      </w:r>
      <w:r>
        <w:t xml:space="preserve">“</w:t>
      </w:r>
      <w:r>
        <w:t xml:space="preserve">own-Hamiltonian ground state</w:t>
      </w:r>
      <w:r>
        <w:t xml:space="preserve">”</w:t>
      </w:r>
      <w:r>
        <w:t xml:space="preserve"> </w:t>
      </w:r>
      <w:r>
        <w:t xml:space="preserve">in a degenerate ground space is covariant only if it is the normalised projector onto the whole ground space.</w:t>
      </w:r>
    </w:p>
    <w:p>
      <w:pPr>
        <w:pStyle w:val="BodyText"/>
      </w:pPr>
      <w:r>
        <w:rPr>
          <w:b/>
          <w:bCs/>
        </w:rPr>
        <w:t xml:space="preserve">Remarks.</w:t>
      </w:r>
    </w:p>
    <w:p>
      <w:pPr>
        <w:pStyle w:val="Compact"/>
        <w:numPr>
          <w:ilvl w:val="0"/>
          <w:numId w:val="1004"/>
        </w:numPr>
      </w:pPr>
      <w:r>
        <w:rPr>
          <w:i/>
          <w:iCs/>
        </w:rPr>
        <w:t xml:space="preserve">Formation versus presence.</w:t>
      </w:r>
      <w:r>
        <w:t xml:space="preserve"> </w:t>
      </w:r>
      <w:r>
        <w:t xml:space="preserve">Proposition 1 excludes the formation of new equal-time records under autonomous evolution by the same Hamiltonian. It does not exclude their presence: pointer-basis records that commute with</w:t>
      </w:r>
      <w:r>
        <w:t xml:space="preserve"> </w:t>
      </w:r>
      <m:oMath>
        <m:r>
          <m:t>H</m:t>
        </m:r>
      </m:oMath>
      <w:r>
        <w:t xml:space="preserve"> </w:t>
      </w:r>
      <w:r>
        <w:t xml:space="preserve">are stationary and persistent.</w:t>
      </w:r>
    </w:p>
    <w:p>
      <w:pPr>
        <w:pStyle w:val="Compact"/>
        <w:numPr>
          <w:ilvl w:val="0"/>
          <w:numId w:val="1004"/>
        </w:numPr>
      </w:pPr>
      <w:r>
        <w:rPr>
          <w:i/>
          <w:iCs/>
        </w:rPr>
        <w:t xml:space="preserve">Conditional states are what matter.</w:t>
      </w:r>
      <w:r>
        <w:t xml:space="preserve"> </w:t>
      </w:r>
      <w:r>
        <w:t xml:space="preserve">Records concern the source-conditioned states</w:t>
      </w:r>
      <w:r>
        <w:t xml:space="preserve"> </w:t>
      </w:r>
      <m:oMath>
        <m:sSub>
          <m:e>
            <m:r>
              <m:t>ρ</m:t>
            </m:r>
          </m:e>
          <m:sub>
            <m:r>
              <m:t>x</m:t>
            </m:r>
          </m:sub>
        </m:sSub>
        <m:r>
          <m:rPr>
            <m:sty m:val="p"/>
          </m:rPr>
          <m:t>(</m:t>
        </m:r>
        <m:r>
          <m:t>t</m:t>
        </m:r>
        <m:r>
          <m:rPr>
            <m:sty m:val="p"/>
          </m:rPr>
          <m:t>)</m:t>
        </m:r>
      </m:oMath>
      <w:r>
        <w:t xml:space="preserve">, not their average. A stationary average can hide conditional dynamics. With</w:t>
      </w:r>
      <w:r>
        <w:t xml:space="preserve"> </w:t>
      </w:r>
      <m:oMath>
        <m:r>
          <m:t>H</m:t>
        </m:r>
        <m:r>
          <m:rPr>
            <m:sty m:val="p"/>
          </m:rPr>
          <m:t>=</m:t>
        </m:r>
        <m:r>
          <m:t>Z</m:t>
        </m:r>
      </m:oMath>
      <w:r>
        <w:t xml:space="preserve"> </w:t>
      </w:r>
      <w:r>
        <w:t xml:space="preserve">and</w:t>
      </w:r>
      <w:r>
        <w:t xml:space="preserve"> </w:t>
      </w:r>
      <m:oMath>
        <m:sSub>
          <m:e>
            <m:r>
              <m:t>ρ</m:t>
            </m:r>
          </m:e>
          <m:sub>
            <m:r>
              <m:t>0</m:t>
            </m:r>
          </m:sub>
        </m:sSub>
        <m:r>
          <m:rPr>
            <m:sty m:val="p"/>
          </m:rPr>
          <m:t>(</m:t>
        </m:r>
        <m:r>
          <m:t>0</m:t>
        </m:r>
        <m:r>
          <m:rPr>
            <m:sty m:val="p"/>
          </m:rPr>
          <m:t>)</m:t>
        </m:r>
        <m:r>
          <m:rPr>
            <m:sty m:val="p"/>
          </m:rPr>
          <m:t>=</m:t>
        </m:r>
        <m:r>
          <m:rPr>
            <m:sty m:val="p"/>
          </m:rPr>
          <m:t>(</m:t>
        </m:r>
        <m:r>
          <m:t>I</m:t>
        </m:r>
        <m:r>
          <m:rPr>
            <m:sty m:val="p"/>
          </m:rPr>
          <m:t>+</m:t>
        </m:r>
        <m:r>
          <m:t>X</m:t>
        </m:r>
        <m:r>
          <m:rPr>
            <m:sty m:val="p"/>
          </m:rPr>
          <m:t>)</m:t>
        </m:r>
        <m:r>
          <m:rPr>
            <m:sty m:val="p"/>
          </m:rPr>
          <m:t>/</m:t>
        </m:r>
        <m:r>
          <m:t>2</m:t>
        </m:r>
      </m:oMath>
      <w:r>
        <w:t xml:space="preserve">,</w:t>
      </w:r>
      <w:r>
        <w:t xml:space="preserve"> </w:t>
      </w:r>
      <m:oMath>
        <m:sSub>
          <m:e>
            <m:r>
              <m:t>ρ</m:t>
            </m:r>
          </m:e>
          <m:sub>
            <m:r>
              <m:t>1</m:t>
            </m:r>
          </m:sub>
        </m:sSub>
        <m:r>
          <m:rPr>
            <m:sty m:val="p"/>
          </m:rPr>
          <m:t>(</m:t>
        </m:r>
        <m:r>
          <m:t>0</m:t>
        </m:r>
        <m:r>
          <m:rPr>
            <m:sty m:val="p"/>
          </m:rPr>
          <m:t>)</m:t>
        </m:r>
        <m:r>
          <m:rPr>
            <m:sty m:val="p"/>
          </m:rPr>
          <m:t>=</m:t>
        </m:r>
        <m:r>
          <m:rPr>
            <m:sty m:val="p"/>
          </m:rPr>
          <m:t>(</m:t>
        </m:r>
        <m:r>
          <m:t>I</m:t>
        </m:r>
        <m:r>
          <m:rPr>
            <m:sty m:val="p"/>
          </m:rPr>
          <m:t>−</m:t>
        </m:r>
        <m:r>
          <m:t>X</m:t>
        </m:r>
        <m:r>
          <m:rPr>
            <m:sty m:val="p"/>
          </m:rPr>
          <m:t>)</m:t>
        </m:r>
        <m:r>
          <m:rPr>
            <m:sty m:val="p"/>
          </m:rPr>
          <m:t>/</m:t>
        </m:r>
        <m:r>
          <m:t>2</m:t>
        </m:r>
      </m:oMath>
      <w:r>
        <w:t xml:space="preserve">, the average is</w:t>
      </w:r>
      <w:r>
        <w:t xml:space="preserve"> </w:t>
      </w:r>
      <m:oMath>
        <m:r>
          <m:t>I</m:t>
        </m:r>
        <m:r>
          <m:rPr>
            <m:sty m:val="p"/>
          </m:rPr>
          <m:t>/</m:t>
        </m:r>
        <m:r>
          <m:t>2</m:t>
        </m:r>
      </m:oMath>
      <w:r>
        <w:t xml:space="preserve"> </w:t>
      </w:r>
      <w:r>
        <w:t xml:space="preserve">at all times. The information a fixed</w:t>
      </w:r>
      <w:r>
        <w:t xml:space="preserve"> </w:t>
      </w:r>
      <m:oMath>
        <m:sSub>
          <m:e>
            <m:r>
              <m:t>σ</m:t>
            </m:r>
          </m:e>
          <m:sub>
            <m:r>
              <m:t>x</m:t>
            </m:r>
          </m:sub>
        </m:sSub>
      </m:oMath>
      <w:r>
        <w:t xml:space="preserve"> </w:t>
      </w:r>
      <w:r>
        <w:t xml:space="preserve">measurement carries about</w:t>
      </w:r>
      <w:r>
        <w:t xml:space="preserve"> </w:t>
      </w:r>
      <m:oMath>
        <m:r>
          <m:t>x</m:t>
        </m:r>
      </m:oMath>
      <w:r>
        <w:t xml:space="preserve"> </w:t>
      </w:r>
      <w:r>
        <w:t xml:space="preserve">is</w:t>
      </w:r>
      <w:r>
        <w:t xml:space="preserve"> </w:t>
      </w:r>
      <m:oMath>
        <m:r>
          <m:t>1.0</m:t>
        </m:r>
        <m:r>
          <m:rPr>
            <m:sty m:val="p"/>
          </m:rPr>
          <m:t>,</m:t>
        </m:r>
        <m:r>
          <m:t> </m:t>
        </m:r>
        <m:r>
          <m:t>0.399</m:t>
        </m:r>
        <m:r>
          <m:rPr>
            <m:sty m:val="p"/>
          </m:rPr>
          <m:t>,</m:t>
        </m:r>
        <m:r>
          <m:t> </m:t>
        </m:r>
        <m:r>
          <m:t>0</m:t>
        </m:r>
        <m:r>
          <m:rPr>
            <m:sty m:val="p"/>
          </m:rPr>
          <m:t>,</m:t>
        </m:r>
        <m:r>
          <m:t> </m:t>
        </m:r>
        <m:r>
          <m:t>0.399</m:t>
        </m:r>
        <m:r>
          <m:rPr>
            <m:sty m:val="p"/>
          </m:rPr>
          <m:t>,</m:t>
        </m:r>
        <m:r>
          <m:t> </m:t>
        </m:r>
        <m:r>
          <m:t>1.0</m:t>
        </m:r>
      </m:oMath>
      <w:r>
        <w:t xml:space="preserve"> </w:t>
      </w:r>
      <w:r>
        <w:t xml:space="preserve">bits at</w:t>
      </w:r>
      <w:r>
        <w:t xml:space="preserve"> </w:t>
      </w:r>
      <m:oMath>
        <m:r>
          <m:t>t</m:t>
        </m:r>
        <m:r>
          <m:rPr>
            <m:sty m:val="p"/>
          </m:rPr>
          <m:t>=</m:t>
        </m:r>
        <m:r>
          <m:t>0</m:t>
        </m:r>
        <m:r>
          <m:rPr>
            <m:sty m:val="p"/>
          </m:rPr>
          <m:t>,</m:t>
        </m:r>
        <m:r>
          <m:t>π</m:t>
        </m:r>
        <m:r>
          <m:rPr>
            <m:sty m:val="p"/>
          </m:rPr>
          <m:t>/</m:t>
        </m:r>
        <m:r>
          <m:t>8</m:t>
        </m:r>
        <m:r>
          <m:rPr>
            <m:sty m:val="p"/>
          </m:rPr>
          <m:t>,</m:t>
        </m:r>
        <m:r>
          <m:t>π</m:t>
        </m:r>
        <m:r>
          <m:rPr>
            <m:sty m:val="p"/>
          </m:rPr>
          <m:t>/</m:t>
        </m:r>
        <m:r>
          <m:t>4</m:t>
        </m:r>
        <m:r>
          <m:rPr>
            <m:sty m:val="p"/>
          </m:rPr>
          <m:t>,</m:t>
        </m:r>
        <m:r>
          <m:t>3</m:t>
        </m:r>
        <m:r>
          <m:t>π</m:t>
        </m:r>
        <m:r>
          <m:rPr>
            <m:sty m:val="p"/>
          </m:rPr>
          <m:t>/</m:t>
        </m:r>
        <m:r>
          <m:t>8</m:t>
        </m:r>
        <m:r>
          <m:rPr>
            <m:sty m:val="p"/>
          </m:rPr>
          <m:t>,</m:t>
        </m:r>
        <m:r>
          <m:t>π</m:t>
        </m:r>
        <m:r>
          <m:rPr>
            <m:sty m:val="p"/>
          </m:rPr>
          <m:t>/</m:t>
        </m:r>
        <m:r>
          <m:t>2</m:t>
        </m:r>
      </m:oMath>
      <w:r>
        <w:t xml:space="preserve"> </w:t>
      </w:r>
      <w:r>
        <w:t xml:space="preserve">(Supplement run S02).</w:t>
      </w:r>
    </w:p>
    <w:p>
      <w:pPr>
        <w:pStyle w:val="Compact"/>
        <w:numPr>
          <w:ilvl w:val="0"/>
          <w:numId w:val="1004"/>
        </w:numPr>
      </w:pPr>
      <w:r>
        <w:rPr>
          <w:i/>
          <w:iCs/>
        </w:rPr>
        <w:t xml:space="preserve">Stochastic rules.</w:t>
      </w:r>
      <w:r>
        <w:t xml:space="preserve"> </w:t>
      </w:r>
      <w:r>
        <w:t xml:space="preserve">If a covariant rule is randomised, covariance of the average does not imply stationarity of each draw.</w:t>
      </w:r>
    </w:p>
    <w:bookmarkEnd w:id="37"/>
    <w:bookmarkStart w:id="38" w:name="X7dd24726df4a519076b7e4b9d6296f7acaa89f9"/>
    <w:p>
      <w:pPr>
        <w:pStyle w:val="Heading2"/>
      </w:pPr>
      <w:r>
        <w:t xml:space="preserve">4.2 Proposition 2: entropy matching does not match resources</w:t>
      </w:r>
    </w:p>
    <w:p>
      <w:pPr>
        <w:pStyle w:val="FirstParagraph"/>
      </w:pPr>
      <w:r>
        <w:rPr>
          <w:b/>
          <w:bCs/>
        </w:rPr>
        <w:t xml:space="preserve">Proposition 2.</w:t>
      </w:r>
      <w:r>
        <w:t xml:space="preserve"> </w:t>
      </w:r>
      <w:r>
        <w:t xml:space="preserve">A unitary change of preparation,</w:t>
      </w:r>
      <w:r>
        <w:t xml:space="preserve"> </w:t>
      </w:r>
      <m:oMath>
        <m:r>
          <m:t>ρ</m:t>
        </m:r>
        <m:r>
          <m:rPr>
            <m:sty m:val="p"/>
          </m:rPr>
          <m:t>↦</m:t>
        </m:r>
        <m:r>
          <m:t>W</m:t>
        </m:r>
        <m:r>
          <m:t>ρ</m:t>
        </m:r>
        <m:sSup>
          <m:e>
            <m:r>
              <m:t>W</m:t>
            </m:r>
          </m:e>
          <m:sup>
            <m:r>
              <m:rPr>
                <m:sty m:val="p"/>
              </m:rPr>
              <m:t>†</m:t>
            </m:r>
          </m:sup>
        </m:sSup>
      </m:oMath>
      <w:r>
        <w:t xml:space="preserve">, preserves the spectrum and von Neumann entropy of</w:t>
      </w:r>
      <w:r>
        <w:t xml:space="preserve"> </w:t>
      </w:r>
      <m:oMath>
        <m:r>
          <m:t>ρ</m:t>
        </m:r>
      </m:oMath>
      <w:r>
        <w:t xml:space="preserve">. It need not preserve (i) the energy distribution relative to a fixed Hamiltonian or (ii) the entanglement across a fixed bipartition.</w:t>
      </w:r>
    </w:p>
    <w:p>
      <w:pPr>
        <w:pStyle w:val="BodyText"/>
      </w:pPr>
      <w:r>
        <w:rPr>
          <w:i/>
          <w:iCs/>
        </w:rPr>
        <w:t xml:space="preserve">Counterexamples.</w:t>
      </w:r>
      <w:r>
        <w:t xml:space="preserve"> </w:t>
      </w:r>
      <w:r>
        <w:t xml:space="preserve">(i) Let</w:t>
      </w:r>
      <w:r>
        <w:t xml:space="preserve"> </w:t>
      </w:r>
      <m:oMath>
        <m:r>
          <m:t>H</m:t>
        </m:r>
        <m:r>
          <m:rPr>
            <m:sty m:val="p"/>
          </m:rPr>
          <m:t>=</m:t>
        </m:r>
        <m:r>
          <m:t>Z</m:t>
        </m:r>
      </m:oMath>
      <w:r>
        <w:t xml:space="preserve">,</w:t>
      </w:r>
      <w:r>
        <w:t xml:space="preserve"> </w:t>
      </w:r>
      <m:oMath>
        <m:r>
          <m:t>β</m:t>
        </m:r>
        <m:r>
          <m:rPr>
            <m:sty m:val="p"/>
          </m:rPr>
          <m:t>=</m:t>
        </m:r>
        <m:r>
          <m:t>1</m:t>
        </m:r>
      </m:oMath>
      <w:r>
        <w:t xml:space="preserve">,</w:t>
      </w:r>
      <w:r>
        <w:t xml:space="preserve"> </w:t>
      </w:r>
      <m:oMath>
        <m:r>
          <m:t>ρ</m:t>
        </m:r>
        <m:r>
          <m:rPr>
            <m:sty m:val="p"/>
          </m:rPr>
          <m:t>=</m:t>
        </m:r>
        <m:sSup>
          <m:e>
            <m:r>
              <m:t>e</m:t>
            </m:r>
          </m:e>
          <m:sup>
            <m:r>
              <m:rPr>
                <m:sty m:val="p"/>
              </m:rPr>
              <m:t>−</m:t>
            </m:r>
            <m:r>
              <m:t>Z</m:t>
            </m:r>
          </m:sup>
        </m:sSup>
        <m:r>
          <m:rPr>
            <m:sty m:val="p"/>
          </m:rPr>
          <m:t>/</m:t>
        </m:r>
        <m:r>
          <m:rPr>
            <m:sty m:val="p"/>
            <m:nor m:val="1"/>
          </m:rPr>
          <w:rPr>
            <w:i w:val="0"/>
          </w:rPr>
          <m:t>Tr</m:t>
        </m:r>
        <m:r>
          <m:t> </m:t>
        </m:r>
        <m:sSup>
          <m:e>
            <m:r>
              <m:t>e</m:t>
            </m:r>
          </m:e>
          <m:sup>
            <m:r>
              <m:rPr>
                <m:sty m:val="p"/>
              </m:rPr>
              <m:t>−</m:t>
            </m:r>
            <m:r>
              <m:t>Z</m:t>
            </m:r>
          </m:sup>
        </m:sSup>
      </m:oMath>
      <w:r>
        <w:t xml:space="preserve"> </w:t>
      </w:r>
      <w:r>
        <w:t xml:space="preserve">and</w:t>
      </w:r>
      <w:r>
        <w:t xml:space="preserve"> </w:t>
      </w:r>
      <m:oMath>
        <m:r>
          <m:t>W</m:t>
        </m:r>
      </m:oMath>
      <w:r>
        <w:t xml:space="preserve"> </w:t>
      </w:r>
      <w:r>
        <w:t xml:space="preserve">the Hadamard gate. Then</w:t>
      </w:r>
      <w:r>
        <w:t xml:space="preserve"> </w:t>
      </w:r>
      <m:oMath>
        <m:r>
          <m:t>S</m:t>
        </m:r>
        <m:r>
          <m:rPr>
            <m:sty m:val="p"/>
          </m:rPr>
          <m:t>(</m:t>
        </m:r>
        <m:r>
          <m:t>ρ</m:t>
        </m:r>
        <m:r>
          <m:rPr>
            <m:sty m:val="p"/>
          </m:rPr>
          <m:t>)</m:t>
        </m:r>
        <m:r>
          <m:rPr>
            <m:sty m:val="p"/>
          </m:rPr>
          <m:t>=</m:t>
        </m:r>
        <m:r>
          <m:t>S</m:t>
        </m:r>
        <m:r>
          <m:rPr>
            <m:sty m:val="p"/>
          </m:rPr>
          <m:t>(</m:t>
        </m:r>
        <m:r>
          <m:t>W</m:t>
        </m:r>
        <m:r>
          <m:t>ρ</m:t>
        </m:r>
        <m:sSup>
          <m:e>
            <m:r>
              <m:t>W</m:t>
            </m:r>
          </m:e>
          <m:sup>
            <m:r>
              <m:rPr>
                <m:sty m:val="p"/>
              </m:rPr>
              <m:t>†</m:t>
            </m:r>
          </m:sup>
        </m:sSup>
        <m:r>
          <m:rPr>
            <m:sty m:val="p"/>
          </m:rPr>
          <m:t>)</m:t>
        </m:r>
        <m:r>
          <m:rPr>
            <m:sty m:val="p"/>
          </m:rPr>
          <m:t>=</m:t>
        </m:r>
        <m:r>
          <m:t>0.5270653410</m:t>
        </m:r>
      </m:oMath>
      <w:r>
        <w:t xml:space="preserve"> </w:t>
      </w:r>
      <w:r>
        <w:t xml:space="preserve">bits (von Neumann), while</w:t>
      </w:r>
      <w:r>
        <w:t xml:space="preserve"> </w:t>
      </w:r>
      <m:oMath>
        <m:r>
          <m:rPr>
            <m:sty m:val="p"/>
            <m:nor m:val="1"/>
          </m:rPr>
          <w:rPr>
            <w:i w:val="0"/>
          </w:rPr>
          <m:t>Tr</m:t>
        </m:r>
        <m:r>
          <m:rPr>
            <m:sty m:val="p"/>
          </m:rPr>
          <m:t>(</m:t>
        </m:r>
        <m:r>
          <m:t>H</m:t>
        </m:r>
        <m:r>
          <m:t>ρ</m:t>
        </m:r>
        <m:r>
          <m:rPr>
            <m:sty m:val="p"/>
          </m:rPr>
          <m:t>)</m:t>
        </m:r>
        <m:r>
          <m:rPr>
            <m:sty m:val="p"/>
          </m:rPr>
          <m:t>=</m:t>
        </m:r>
        <m:r>
          <m:rPr>
            <m:sty m:val="p"/>
          </m:rPr>
          <m:t>−</m:t>
        </m:r>
        <m:r>
          <m:rPr>
            <m:sty m:val="p"/>
          </m:rPr>
          <m:t>tanh</m:t>
        </m:r>
        <m:r>
          <m:t>1</m:t>
        </m:r>
        <m:r>
          <m:rPr>
            <m:sty m:val="p"/>
          </m:rPr>
          <m:t>=</m:t>
        </m:r>
        <m:r>
          <m:rPr>
            <m:sty m:val="p"/>
          </m:rPr>
          <m:t>−</m:t>
        </m:r>
        <m:r>
          <m:t>0.7615941560</m:t>
        </m:r>
      </m:oMath>
      <w:r>
        <w:t xml:space="preserve"> </w:t>
      </w:r>
      <w:r>
        <w:t xml:space="preserve">and</w:t>
      </w:r>
      <w:r>
        <w:t xml:space="preserve"> </w:t>
      </w:r>
      <m:oMath>
        <m:r>
          <m:rPr>
            <m:sty m:val="p"/>
            <m:nor m:val="1"/>
          </m:rPr>
          <w:rPr>
            <w:i w:val="0"/>
          </w:rPr>
          <m:t>Tr</m:t>
        </m:r>
        <m:r>
          <m:rPr>
            <m:sty m:val="p"/>
          </m:rPr>
          <m:t>(</m:t>
        </m:r>
        <m:r>
          <m:t>H</m:t>
        </m:r>
        <m:r>
          <m:t>W</m:t>
        </m:r>
        <m:r>
          <m:t>ρ</m:t>
        </m:r>
        <m:sSup>
          <m:e>
            <m:r>
              <m:t>W</m:t>
            </m:r>
          </m:e>
          <m:sup>
            <m:r>
              <m:rPr>
                <m:sty m:val="p"/>
              </m:rPr>
              <m:t>†</m:t>
            </m:r>
          </m:sup>
        </m:sSup>
        <m:r>
          <m:rPr>
            <m:sty m:val="p"/>
          </m:rPr>
          <m:t>)</m:t>
        </m:r>
        <m:r>
          <m:rPr>
            <m:sty m:val="p"/>
          </m:rPr>
          <m:t>=</m:t>
        </m:r>
        <m:r>
          <m:t>0</m:t>
        </m:r>
      </m:oMath>
      <w:r>
        <w:t xml:space="preserve">. The Rényi-2 entropy of both states is</w:t>
      </w:r>
      <w:r>
        <w:t xml:space="preserve"> </w:t>
      </w:r>
      <m:oMath>
        <m:r>
          <m:t>0.3400520132</m:t>
        </m:r>
      </m:oMath>
      <w:r>
        <w:t xml:space="preserve"> </w:t>
      </w:r>
      <w:r>
        <w:t xml:space="preserve">bits, so the symbol</w:t>
      </w:r>
      <w:r>
        <w:t xml:space="preserve"> </w:t>
      </w:r>
      <m:oMath>
        <m:sSub>
          <m:e>
            <m:r>
              <m:t>S</m:t>
            </m:r>
          </m:e>
          <m:sub>
            <m:r>
              <m:t>2</m:t>
            </m:r>
          </m:sub>
        </m:sSub>
      </m:oMath>
      <w:r>
        <w:t xml:space="preserve"> </w:t>
      </w:r>
      <w:r>
        <w:t xml:space="preserve">should not be used for the von Neumann value. (ii) On the fixed bipartition A/B of two qubits,</w:t>
      </w:r>
      <w:r>
        <w:t xml:space="preserve"> </w:t>
      </w:r>
      <m:oMath>
        <m:r>
          <m:t>U</m:t>
        </m:r>
        <m:r>
          <m:rPr>
            <m:sty m:val="p"/>
          </m:rPr>
          <m:t>=</m:t>
        </m:r>
        <m:r>
          <m:rPr>
            <m:sty m:val="p"/>
          </m:rPr>
          <m:t>(</m:t>
        </m:r>
        <m:r>
          <m:rPr>
            <m:sty m:val="p"/>
          </m:rPr>
          <m:t>H</m:t>
        </m:r>
        <m:r>
          <m:rPr>
            <m:sty m:val="p"/>
          </m:rPr>
          <m:t>a</m:t>
        </m:r>
        <m:r>
          <m:rPr>
            <m:sty m:val="p"/>
          </m:rPr>
          <m:t>d</m:t>
        </m:r>
        <m:r>
          <m:rPr>
            <m:sty m:val="p"/>
          </m:rPr>
          <m:t>⊗</m:t>
        </m:r>
        <m:r>
          <m:t>I</m:t>
        </m:r>
        <m:r>
          <m:rPr>
            <m:sty m:val="p"/>
          </m:rPr>
          <m:t>)</m:t>
        </m:r>
        <m:r>
          <m:t> </m:t>
        </m:r>
        <m:r>
          <m:rPr>
            <m:sty m:val="p"/>
          </m:rPr>
          <m:t>C</m:t>
        </m:r>
        <m:r>
          <m:rPr>
            <m:sty m:val="p"/>
          </m:rPr>
          <m:t>N</m:t>
        </m:r>
        <m:r>
          <m:rPr>
            <m:sty m:val="p"/>
          </m:rPr>
          <m:t>O</m:t>
        </m:r>
        <m:r>
          <m:rPr>
            <m:sty m:val="p"/>
          </m:rPr>
          <m:t>T</m:t>
        </m:r>
      </m:oMath>
      <w:r>
        <w:t xml:space="preserve"> </w:t>
      </w:r>
      <w:r>
        <w:t xml:space="preserve">maps</w:t>
      </w:r>
      <w:r>
        <w:t xml:space="preserve"> </w:t>
      </w:r>
      <m:oMath>
        <m:r>
          <m:rPr>
            <m:sty m:val="p"/>
          </m:rPr>
          <m:t>(</m:t>
        </m:r>
        <m:r>
          <m:rPr>
            <m:sty m:val="p"/>
          </m:rPr>
          <m:t>∣</m:t>
        </m:r>
        <m:r>
          <m:t>00</m:t>
        </m:r>
        <m:r>
          <m:rPr>
            <m:sty m:val="p"/>
          </m:rPr>
          <m:t>⟩</m:t>
        </m:r>
        <m:r>
          <m:rPr>
            <m:sty m:val="p"/>
          </m:rPr>
          <m:t>+</m:t>
        </m:r>
        <m:r>
          <m:rPr>
            <m:sty m:val="p"/>
          </m:rPr>
          <m:t>∣</m:t>
        </m:r>
        <m:r>
          <m:t>11</m:t>
        </m:r>
        <m:r>
          <m:rPr>
            <m:sty m:val="p"/>
          </m:rPr>
          <m:t>⟩</m:t>
        </m:r>
        <m:r>
          <m:rPr>
            <m:sty m:val="p"/>
          </m:rPr>
          <m:t>)</m:t>
        </m:r>
        <m:r>
          <m:rPr>
            <m:sty m:val="p"/>
          </m:rPr>
          <m:t>/</m:t>
        </m:r>
        <m:rad>
          <m:radPr>
            <m:degHide m:val="on"/>
          </m:radPr>
          <m:deg/>
          <m:e>
            <m:r>
              <m:t>2</m:t>
            </m:r>
          </m:e>
        </m:rad>
      </m:oMath>
      <w:r>
        <w:t xml:space="preserve"> </w:t>
      </w:r>
      <w:r>
        <w:t xml:space="preserve">to</w:t>
      </w:r>
      <w:r>
        <w:t xml:space="preserve"> </w:t>
      </w:r>
      <m:oMath>
        <m:r>
          <m:rPr>
            <m:sty m:val="p"/>
          </m:rPr>
          <m:t>∣</m:t>
        </m:r>
        <m:r>
          <m:t>00</m:t>
        </m:r>
        <m:r>
          <m:rPr>
            <m:sty m:val="p"/>
          </m:rPr>
          <m:t>⟩</m:t>
        </m:r>
      </m:oMath>
      <w:r>
        <w:t xml:space="preserve">: both states are globally pure, but</w:t>
      </w:r>
      <w:r>
        <w:t xml:space="preserve"> </w:t>
      </w:r>
      <m:oMath>
        <m:r>
          <m:t>S</m:t>
        </m:r>
        <m:r>
          <m:rPr>
            <m:sty m:val="p"/>
          </m:rPr>
          <m:t>(</m:t>
        </m:r>
        <m:sSub>
          <m:e>
            <m:r>
              <m:t>ρ</m:t>
            </m:r>
          </m:e>
          <m:sub>
            <m:r>
              <m:t>A</m:t>
            </m:r>
          </m:sub>
        </m:sSub>
        <m:r>
          <m:rPr>
            <m:sty m:val="p"/>
          </m:rPr>
          <m:t>)</m:t>
        </m:r>
      </m:oMath>
      <w:r>
        <w:t xml:space="preserve"> </w:t>
      </w:r>
      <w:r>
        <w:t xml:space="preserve">falls from one bit to zero (Supplement run S01).</w:t>
      </w:r>
      <w:r>
        <w:t xml:space="preserve"> </w:t>
      </w:r>
      <m:oMath>
        <m:r>
          <m:rPr>
            <m:sty m:val="p"/>
          </m:rPr>
          <m:t>▫</m:t>
        </m:r>
      </m:oMath>
    </w:p>
    <w:p>
      <w:pPr>
        <w:pStyle w:val="BodyText"/>
      </w:pPr>
      <w:r>
        <w:t xml:space="preserve">Restricting to unitaries that commute with</w:t>
      </w:r>
      <w:r>
        <w:t xml:space="preserve"> </w:t>
      </w:r>
      <m:oMath>
        <m:r>
          <m:t>H</m:t>
        </m:r>
      </m:oMath>
      <w:r>
        <w:t xml:space="preserve"> </w:t>
      </w:r>
      <w:r>
        <w:t xml:space="preserve">does not repair this as a control: for</w:t>
      </w:r>
      <w:r>
        <w:t xml:space="preserve"> </w:t>
      </w:r>
      <m:oMath>
        <m:r>
          <m:t>ρ</m:t>
        </m:r>
        <m:r>
          <m:rPr>
            <m:sty m:val="p"/>
          </m:rPr>
          <m:t>=</m:t>
        </m:r>
        <m:r>
          <m:t>f</m:t>
        </m:r>
        <m:r>
          <m:rPr>
            <m:sty m:val="p"/>
          </m:rPr>
          <m:t>(</m:t>
        </m:r>
        <m:r>
          <m:t>H</m:t>
        </m:r>
        <m:r>
          <m:rPr>
            <m:sty m:val="p"/>
          </m:rPr>
          <m:t>)</m:t>
        </m:r>
      </m:oMath>
      <w:r>
        <w:t xml:space="preserve"> </w:t>
      </w:r>
      <w:r>
        <w:t xml:space="preserve">every such unitary leaves</w:t>
      </w:r>
      <w:r>
        <w:t xml:space="preserve"> </w:t>
      </w:r>
      <m:oMath>
        <m:r>
          <m:t>ρ</m:t>
        </m:r>
      </m:oMath>
      <w:r>
        <w:t xml:space="preserve"> </w:t>
      </w:r>
      <w:r>
        <w:t xml:space="preserve">unchanged. A preparation-only rotation is therefore not, without further proof, an intervention that alters only the locality-record relation.</w:t>
      </w:r>
    </w:p>
    <w:bookmarkEnd w:id="38"/>
    <w:bookmarkStart w:id="39" w:name="X014caa9d8100dee98d9f5633ef7c1f4fa5f7754"/>
    <w:p>
      <w:pPr>
        <w:pStyle w:val="Heading2"/>
      </w:pPr>
      <w:r>
        <w:t xml:space="preserve">4.3 Proposition 3: conditional typicality bounds record qualification</w:t>
      </w:r>
    </w:p>
    <w:p>
      <w:pPr>
        <w:pStyle w:val="FirstParagraph"/>
      </w:pPr>
      <w:r>
        <w:t xml:space="preserve">We bound qualification probabilities for small fragments in frames independent of the realised states. The conclusion is probabilistic and conditional, not a prohibition on every record.</w:t>
      </w:r>
    </w:p>
    <w:p>
      <w:pPr>
        <w:pStyle w:val="BodyText"/>
      </w:pPr>
      <w:r>
        <w:rPr>
          <w:b/>
          <w:bCs/>
        </w:rPr>
        <w:t xml:space="preserve">Assumption U (frame-free preparation).</w:t>
      </w:r>
      <w:r>
        <w:t xml:space="preserve"> </w:t>
      </w:r>
      <w:r>
        <w:t xml:space="preserve">For each</w:t>
      </w:r>
      <w:r>
        <w:t xml:space="preserve"> </w:t>
      </w:r>
      <m:oMath>
        <m:r>
          <m:t>x</m:t>
        </m:r>
      </m:oMath>
      <w:r>
        <w:t xml:space="preserve">, the source-conditioned system state at the time considered is pure,</w:t>
      </w:r>
      <w:r>
        <w:t xml:space="preserve"> </w:t>
      </w:r>
      <m:oMath>
        <m:r>
          <m:rPr>
            <m:sty m:val="p"/>
          </m:rPr>
          <m:t>∣</m:t>
        </m:r>
        <m:sSub>
          <m:e>
            <m:r>
              <m:t>ψ</m:t>
            </m:r>
          </m:e>
          <m:sub>
            <m:r>
              <m:t>x</m:t>
            </m:r>
          </m:sub>
        </m:sSub>
        <m:r>
          <m:rPr>
            <m:sty m:val="p"/>
          </m:rPr>
          <m:t>⟩</m:t>
        </m:r>
        <m:r>
          <m:rPr>
            <m:sty m:val="p"/>
          </m:rPr>
          <m:t>∈</m:t>
        </m:r>
        <m:sSub>
          <m:e>
            <m:r>
              <m:rPr>
                <m:sty m:val="p"/>
                <m:scr m:val="script"/>
              </m:rPr>
              <m:t>H</m:t>
            </m:r>
          </m:e>
          <m:sub>
            <m:r>
              <m:t>S</m:t>
            </m:r>
          </m:sub>
        </m:sSub>
      </m:oMath>
      <w:r>
        <w:t xml:space="preserve">, and its law is invariant under</w:t>
      </w:r>
      <w:r>
        <w:t xml:space="preserve"> </w:t>
      </w:r>
      <m:oMath>
        <m:r>
          <m:rPr>
            <m:sty m:val="p"/>
          </m:rPr>
          <m:t>∣</m:t>
        </m:r>
        <m:r>
          <m:t>ψ</m:t>
        </m:r>
        <m:r>
          <m:rPr>
            <m:sty m:val="p"/>
          </m:rPr>
          <m:t>⟩</m:t>
        </m:r>
        <m:r>
          <m:rPr>
            <m:sty m:val="p"/>
          </m:rPr>
          <m:t>↦</m:t>
        </m:r>
        <m:r>
          <m:t>U</m:t>
        </m:r>
        <m:r>
          <m:rPr>
            <m:sty m:val="p"/>
          </m:rPr>
          <m:t>∣</m:t>
        </m:r>
        <m:r>
          <m:t>ψ</m:t>
        </m:r>
        <m:r>
          <m:rPr>
            <m:sty m:val="p"/>
          </m:rPr>
          <m:t>⟩</m:t>
        </m:r>
      </m:oMath>
      <w:r>
        <w:t xml:space="preserve"> </w:t>
      </w:r>
      <w:r>
        <w:t xml:space="preserve">for every unitary</w:t>
      </w:r>
      <w:r>
        <w:t xml:space="preserve"> </w:t>
      </w:r>
      <m:oMath>
        <m:r>
          <m:t>U</m:t>
        </m:r>
      </m:oMath>
      <w:r>
        <w:t xml:space="preserve"> </w:t>
      </w:r>
      <w:r>
        <w:t xml:space="preserve">on</w:t>
      </w:r>
      <w:r>
        <w:t xml:space="preserve"> </w:t>
      </w:r>
      <m:oMath>
        <m:sSub>
          <m:e>
            <m:r>
              <m:rPr>
                <m:sty m:val="p"/>
                <m:scr m:val="script"/>
              </m:rPr>
              <m:t>H</m:t>
            </m:r>
          </m:e>
          <m:sub>
            <m:r>
              <m:t>S</m:t>
            </m:r>
          </m:sub>
        </m:sSub>
      </m:oMath>
      <w:r>
        <w:t xml:space="preserve">, up to global phase. No assumption is made about the joint law of</w:t>
      </w:r>
      <w:r>
        <w:t xml:space="preserve"> </w:t>
      </w:r>
      <m:oMath>
        <m:r>
          <m:rPr>
            <m:sty m:val="p"/>
          </m:rPr>
          <m:t>∣</m:t>
        </m:r>
        <m:sSub>
          <m:e>
            <m:r>
              <m:t>ψ</m:t>
            </m:r>
          </m:e>
          <m:sub>
            <m:r>
              <m:t>0</m:t>
            </m:r>
          </m:sub>
        </m:sSub>
        <m:r>
          <m:rPr>
            <m:sty m:val="p"/>
          </m:rPr>
          <m:t>⟩</m:t>
        </m:r>
      </m:oMath>
      <w:r>
        <w:t xml:space="preserve"> </w:t>
      </w:r>
      <w:r>
        <w:t xml:space="preserve">and</w:t>
      </w:r>
      <w:r>
        <w:t xml:space="preserve"> </w:t>
      </w:r>
      <m:oMath>
        <m:r>
          <m:rPr>
            <m:sty m:val="p"/>
          </m:rPr>
          <m:t>∣</m:t>
        </m:r>
        <m:sSub>
          <m:e>
            <m:r>
              <m:t>ψ</m:t>
            </m:r>
          </m:e>
          <m:sub>
            <m:r>
              <m:t>1</m:t>
            </m:r>
          </m:sub>
        </m:sSub>
        <m:r>
          <m:rPr>
            <m:sty m:val="p"/>
          </m:rPr>
          <m:t>⟩</m:t>
        </m:r>
      </m:oMath>
      <w:r>
        <w:t xml:space="preserve">.</w:t>
      </w:r>
    </w:p>
    <w:p>
      <w:pPr>
        <w:pStyle w:val="BodyText"/>
      </w:pPr>
      <w:r>
        <w:t xml:space="preserve">For the autonomous source-conditioned unitary dynamics declared in Section 2.3, Assumption U holds at every fixed</w:t>
      </w:r>
      <w:r>
        <w:t xml:space="preserve"> </w:t>
      </w:r>
      <m:oMath>
        <m:r>
          <m:t>t</m:t>
        </m:r>
      </m:oMath>
      <w:r>
        <w:t xml:space="preserve"> </w:t>
      </w:r>
      <w:r>
        <w:t xml:space="preserve">whenever</w:t>
      </w:r>
      <w:r>
        <w:t xml:space="preserve"> </w:t>
      </w:r>
      <m:oMath>
        <m:r>
          <m:rPr>
            <m:sty m:val="p"/>
          </m:rPr>
          <m:t>∣</m:t>
        </m:r>
        <m:r>
          <m:t>ψ</m:t>
        </m:r>
        <m:r>
          <m:rPr>
            <m:sty m:val="p"/>
          </m:rPr>
          <m:t>(</m:t>
        </m:r>
        <m:r>
          <m:t>0</m:t>
        </m:r>
        <m:r>
          <m:rPr>
            <m:sty m:val="p"/>
          </m:rPr>
          <m:t>)</m:t>
        </m:r>
        <m:r>
          <m:rPr>
            <m:sty m:val="p"/>
          </m:rPr>
          <m:t>⟩</m:t>
        </m:r>
      </m:oMath>
      <w:r>
        <w:t xml:space="preserve"> </w:t>
      </w:r>
      <w:r>
        <w:t xml:space="preserve">is Haar distributed independently of</w:t>
      </w:r>
      <w:r>
        <w:t xml:space="preserve"> </w:t>
      </w:r>
      <m:oMath>
        <m:r>
          <m:rPr>
            <m:sty m:val="p"/>
          </m:rPr>
          <m:t>(</m:t>
        </m:r>
        <m:sSub>
          <m:e>
            <m:r>
              <m:t>H</m:t>
            </m:r>
          </m:e>
          <m:sub>
            <m:r>
              <m:t>S</m:t>
            </m:r>
          </m:sub>
        </m:sSub>
        <m:r>
          <m:rPr>
            <m:sty m:val="p"/>
          </m:rPr>
          <m:t>,</m:t>
        </m:r>
        <m:r>
          <m:t>K</m:t>
        </m:r>
        <m:r>
          <m:rPr>
            <m:sty m:val="p"/>
          </m:rPr>
          <m:t>)</m:t>
        </m:r>
      </m:oMath>
      <w:r>
        <w:t xml:space="preserve"> </w:t>
      </w:r>
      <w:r>
        <w:t xml:space="preserve">and</w:t>
      </w:r>
      <w:r>
        <w:t xml:space="preserve"> </w:t>
      </w:r>
      <m:oMath>
        <m:r>
          <m:rPr>
            <m:sty m:val="p"/>
          </m:rPr>
          <m:t>∣</m:t>
        </m:r>
        <m:sSub>
          <m:e>
            <m:r>
              <m:t>ψ</m:t>
            </m:r>
          </m:e>
          <m:sub>
            <m:r>
              <m:t>x</m:t>
            </m:r>
          </m:sub>
        </m:sSub>
        <m:r>
          <m:rPr>
            <m:sty m:val="p"/>
          </m:rPr>
          <m:t>(</m:t>
        </m:r>
        <m:r>
          <m:t>t</m:t>
        </m:r>
        <m:r>
          <m:rPr>
            <m:sty m:val="p"/>
          </m:rPr>
          <m:t>)</m:t>
        </m:r>
        <m:r>
          <m:rPr>
            <m:sty m:val="p"/>
          </m:rPr>
          <m:t>⟩</m:t>
        </m:r>
        <m:r>
          <m:rPr>
            <m:sty m:val="p"/>
          </m:rPr>
          <m:t>=</m:t>
        </m:r>
        <m:sSup>
          <m:e>
            <m:r>
              <m:t>e</m:t>
            </m:r>
          </m:e>
          <m:sup>
            <m:r>
              <m:rPr>
                <m:sty m:val="p"/>
              </m:rPr>
              <m:t>−</m:t>
            </m:r>
            <m:r>
              <m:t>i</m:t>
            </m:r>
            <m:sSub>
              <m:e>
                <m:r>
                  <m:t>H</m:t>
                </m:r>
              </m:e>
              <m:sub>
                <m:r>
                  <m:t>x</m:t>
                </m:r>
              </m:sub>
            </m:sSub>
            <m:r>
              <m:t>t</m:t>
            </m:r>
          </m:sup>
        </m:sSup>
        <m:r>
          <m:rPr>
            <m:sty m:val="p"/>
          </m:rPr>
          <m:t>∣</m:t>
        </m:r>
        <m:r>
          <m:t>ψ</m:t>
        </m:r>
        <m:r>
          <m:rPr>
            <m:sty m:val="p"/>
          </m:rPr>
          <m:t>(</m:t>
        </m:r>
        <m:r>
          <m:t>0</m:t>
        </m:r>
        <m:r>
          <m:rPr>
            <m:sty m:val="p"/>
          </m:rPr>
          <m:t>)</m:t>
        </m:r>
        <m:r>
          <m:rPr>
            <m:sty m:val="p"/>
          </m:rPr>
          <m:t>⟩</m:t>
        </m:r>
      </m:oMath>
      <w:r>
        <w:t xml:space="preserve">. The Haar law is invariant under the fixed unitary</w:t>
      </w:r>
      <w:r>
        <w:t xml:space="preserve"> </w:t>
      </w:r>
      <m:oMath>
        <m:sSup>
          <m:e>
            <m:r>
              <m:t>e</m:t>
            </m:r>
          </m:e>
          <m:sup>
            <m:r>
              <m:rPr>
                <m:sty m:val="p"/>
              </m:rPr>
              <m:t>−</m:t>
            </m:r>
            <m:r>
              <m:t>i</m:t>
            </m:r>
            <m:sSub>
              <m:e>
                <m:r>
                  <m:t>H</m:t>
                </m:r>
              </m:e>
              <m:sub>
                <m:r>
                  <m:t>x</m:t>
                </m:r>
              </m:sub>
            </m:sSub>
            <m:r>
              <m:t>t</m:t>
            </m:r>
          </m:sup>
        </m:sSup>
      </m:oMath>
      <w:r>
        <w:t xml:space="preserve">, including when conditioning on</w:t>
      </w:r>
      <w:r>
        <w:t xml:space="preserve"> </w:t>
      </w:r>
      <m:oMath>
        <m:r>
          <m:rPr>
            <m:sty m:val="p"/>
          </m:rPr>
          <m:t>(</m:t>
        </m:r>
        <m:sSub>
          <m:e>
            <m:r>
              <m:t>H</m:t>
            </m:r>
          </m:e>
          <m:sub>
            <m:r>
              <m:t>S</m:t>
            </m:r>
          </m:sub>
        </m:sSub>
        <m:r>
          <m:rPr>
            <m:sty m:val="p"/>
          </m:rPr>
          <m:t>,</m:t>
        </m:r>
        <m:r>
          <m:t>K</m:t>
        </m:r>
        <m:r>
          <m:rPr>
            <m:sty m:val="p"/>
          </m:rPr>
          <m:t>)</m:t>
        </m:r>
      </m:oMath>
      <w:r>
        <w:t xml:space="preserve">. It also holds when a product or otherwise ready state is prepared in a frame</w:t>
      </w:r>
      <w:r>
        <w:t xml:space="preserve"> </w:t>
      </w:r>
      <m:oMath>
        <m:r>
          <m:t>W</m:t>
        </m:r>
      </m:oMath>
      <w:r>
        <w:t xml:space="preserve"> </w:t>
      </w:r>
      <w:r>
        <w:t xml:space="preserve">drawn from the Haar measure independently of the dynamics, since</w:t>
      </w:r>
      <w:r>
        <w:t xml:space="preserve"> </w:t>
      </w:r>
      <m:oMath>
        <m:r>
          <m:t>W</m:t>
        </m:r>
        <m:r>
          <m:rPr>
            <m:sty m:val="p"/>
          </m:rPr>
          <m:t>∣</m:t>
        </m:r>
        <m:r>
          <m:t>0</m:t>
        </m:r>
        <m:r>
          <m:rPr>
            <m:sty m:val="p"/>
          </m:rPr>
          <m:t>⋯</m:t>
        </m:r>
        <m:r>
          <m:t>0</m:t>
        </m:r>
        <m:r>
          <m:rPr>
            <m:sty m:val="p"/>
          </m:rPr>
          <m:t>⟩</m:t>
        </m:r>
      </m:oMath>
      <w:r>
        <w:t xml:space="preserve"> </w:t>
      </w:r>
      <w:r>
        <w:t xml:space="preserve">is then Haar distributed.</w:t>
      </w:r>
    </w:p>
    <w:p>
      <w:pPr>
        <w:pStyle w:val="BodyText"/>
      </w:pPr>
      <w:r>
        <w:rPr>
          <w:b/>
          <w:bCs/>
        </w:rPr>
        <w:t xml:space="preserve">Proposition 3.</w:t>
      </w:r>
      <w:r>
        <w:t xml:space="preserve"> </w:t>
      </w:r>
      <w:r>
        <w:t xml:space="preserve">Under Assumption U, let</w:t>
      </w:r>
      <w:r>
        <w:t xml:space="preserve"> </w:t>
      </w:r>
      <m:oMath>
        <m:r>
          <m:t>V</m:t>
        </m:r>
      </m:oMath>
      <w:r>
        <w:t xml:space="preserve"> </w:t>
      </w:r>
      <w:r>
        <w:t xml:space="preserve">be fixed independently of the realised states, or fixed after conditioning on design information</w:t>
      </w:r>
      <w:r>
        <w:t xml:space="preserve"> </w:t>
      </w:r>
      <m:oMath>
        <m:r>
          <m:t>Z</m:t>
        </m:r>
      </m:oMath>
      <w:r>
        <w:t xml:space="preserve"> </w:t>
      </w:r>
      <w:r>
        <w:t xml:space="preserve">for which each conditional marginal law remains Haar. For example,</w:t>
      </w:r>
      <w:r>
        <w:t xml:space="preserve"> </w:t>
      </w:r>
      <m:oMath>
        <m:r>
          <m:t>V</m:t>
        </m:r>
      </m:oMath>
      <w:r>
        <w:t xml:space="preserve"> </w:t>
      </w:r>
      <w:r>
        <w:t xml:space="preserve">may depend on the Hamiltonian if the initial state is conditionally independent Haar given that Hamiltonian. Let</w:t>
      </w:r>
      <w:r>
        <w:t xml:space="preserve"> </w:t>
      </w:r>
      <m:oMath>
        <m:r>
          <m:t>F</m:t>
        </m:r>
      </m:oMath>
      <w:r>
        <w:t xml:space="preserve"> </w:t>
      </w:r>
      <w:r>
        <w:t xml:space="preserve">be any fragment with</w:t>
      </w:r>
      <w:r>
        <w:t xml:space="preserve"> </w:t>
      </w:r>
      <m:oMath>
        <m:r>
          <m:rPr>
            <m:sty m:val="p"/>
            <m:nor m:val="1"/>
          </m:rPr>
          <w:rPr>
            <w:i w:val="0"/>
          </w:rPr>
          <m:t>dim</m:t>
        </m:r>
        <m:sSub>
          <m:e>
            <m:r>
              <m:rPr>
                <m:sty m:val="p"/>
                <m:scr m:val="script"/>
              </m:rPr>
              <m:t>H</m:t>
            </m:r>
          </m:e>
          <m:sub>
            <m:r>
              <m:t>F</m:t>
            </m:r>
          </m:sub>
        </m:sSub>
        <m:r>
          <m:rPr>
            <m:sty m:val="p"/>
          </m:rPr>
          <m:t>=</m:t>
        </m:r>
        <m:sSub>
          <m:e>
            <m:r>
              <m:t>d</m:t>
            </m:r>
          </m:e>
          <m:sub>
            <m:r>
              <m:t>F</m:t>
            </m:r>
          </m:sub>
        </m:sSub>
      </m:oMath>
      <w:r>
        <w:t xml:space="preserve"> </w:t>
      </w:r>
      <w:r>
        <w:t xml:space="preserve">and complement dimension</w:t>
      </w:r>
      <w:r>
        <w:t xml:space="preserve"> </w:t>
      </w:r>
      <m:oMath>
        <m:sSub>
          <m:e>
            <m:r>
              <m:t>d</m:t>
            </m:r>
          </m:e>
          <m:sub>
            <m:r>
              <m:t>R</m:t>
            </m:r>
          </m:sub>
        </m:sSub>
        <m:r>
          <m:rPr>
            <m:sty m:val="p"/>
          </m:rPr>
          <m:t>=</m:t>
        </m:r>
        <m:r>
          <m:t>d</m:t>
        </m:r>
        <m:r>
          <m:rPr>
            <m:sty m:val="p"/>
          </m:rPr>
          <m:t>/</m:t>
        </m:r>
        <m:sSub>
          <m:e>
            <m:r>
              <m:t>d</m:t>
            </m:r>
          </m:e>
          <m:sub>
            <m:r>
              <m:t>F</m:t>
            </m:r>
          </m:sub>
        </m:sSub>
      </m:oMath>
      <w:r>
        <w:t xml:space="preserve">, and let</w:t>
      </w:r>
      <w:r>
        <w:t xml:space="preserve"> </w:t>
      </w:r>
      <m:oMath>
        <m:sSubSup>
          <m:e>
            <m:r>
              <m:t>ρ</m:t>
            </m:r>
          </m:e>
          <m:sub>
            <m:r>
              <m:t>F</m:t>
            </m:r>
          </m:sub>
          <m:sup>
            <m:r>
              <m:t>x</m:t>
            </m:r>
          </m:sup>
        </m:sSubSup>
        <m:r>
          <m:rPr>
            <m:sty m:val="p"/>
          </m:rPr>
          <m:t>=</m:t>
        </m:r>
        <m:sSub>
          <m:e>
            <m:r>
              <m:rPr>
                <m:sty m:val="p"/>
                <m:nor m:val="1"/>
              </m:rPr>
              <w:rPr>
                <w:i w:val="0"/>
              </w:rPr>
              <m:t>Tr</m:t>
            </m:r>
          </m:e>
          <m:sub>
            <m:acc>
              <m:accPr>
                <m:chr m:val="‾"/>
              </m:accPr>
              <m:e>
                <m:r>
                  <m:t>F</m:t>
                </m:r>
              </m:e>
            </m:acc>
          </m:sub>
        </m:sSub>
        <m:r>
          <m:rPr>
            <m:sty m:val="p"/>
          </m:rPr>
          <m:t>(</m:t>
        </m:r>
        <m:sSup>
          <m:e>
            <m:r>
              <m:t>V</m:t>
            </m:r>
          </m:e>
          <m:sup>
            <m:r>
              <m:rPr>
                <m:sty m:val="p"/>
              </m:rPr>
              <m:t>†</m:t>
            </m:r>
          </m:sup>
        </m:sSup>
        <m:r>
          <m:rPr>
            <m:sty m:val="p"/>
          </m:rPr>
          <m:t>∣</m:t>
        </m:r>
        <m:sSub>
          <m:e>
            <m:r>
              <m:t>ψ</m:t>
            </m:r>
          </m:e>
          <m:sub>
            <m:r>
              <m:t>x</m:t>
            </m:r>
          </m:sub>
        </m:sSub>
        <m:r>
          <m:rPr>
            <m:sty m:val="p"/>
          </m:rPr>
          <m:t>⟩</m:t>
        </m:r>
        <m:r>
          <m:rPr>
            <m:sty m:val="p"/>
          </m:rPr>
          <m:t>⟨</m:t>
        </m:r>
        <m:sSub>
          <m:e>
            <m:r>
              <m:t>ψ</m:t>
            </m:r>
          </m:e>
          <m:sub>
            <m:r>
              <m:t>x</m:t>
            </m:r>
          </m:sub>
        </m:sSub>
        <m:r>
          <m:rPr>
            <m:sty m:val="p"/>
          </m:rPr>
          <m:t>∣</m:t>
        </m:r>
        <m:r>
          <m:t>V</m:t>
        </m:r>
        <m:r>
          <m:rPr>
            <m:sty m:val="p"/>
          </m:rPr>
          <m:t>)</m:t>
        </m:r>
      </m:oMath>
      <w:r>
        <w:t xml:space="preserve">. With equal priors:</w:t>
      </w:r>
    </w:p>
    <w:p>
      <w:pPr>
        <w:numPr>
          <w:ilvl w:val="0"/>
          <w:numId w:val="1005"/>
        </w:numPr>
      </w:pPr>
      <m:oMath>
        <m:r>
          <m:rPr>
            <m:sty m:val="p"/>
            <m:scr m:val="double-struck"/>
          </m:rPr>
          <m:t>E</m:t>
        </m:r>
        <m:r>
          <m:t> </m:t>
        </m:r>
        <m:r>
          <m:rPr>
            <m:sty m:val="p"/>
            <m:nor m:val="1"/>
          </m:rPr>
          <w:rPr>
            <w:i w:val="0"/>
          </w:rPr>
          <m:t>Tr</m:t>
        </m:r>
        <m:sSup>
          <m:e>
            <m:r>
              <m:rPr>
                <m:sty m:val="p"/>
              </m:rPr>
              <m:t>(</m:t>
            </m:r>
            <m:sSubSup>
              <m:e>
                <m:r>
                  <m:t>ρ</m:t>
                </m:r>
              </m:e>
              <m:sub>
                <m:r>
                  <m:t>F</m:t>
                </m:r>
              </m:sub>
              <m:sup>
                <m:r>
                  <m:t>x</m:t>
                </m:r>
              </m:sup>
            </m:sSubSup>
            <m:r>
              <m:rPr>
                <m:sty m:val="p"/>
              </m:rPr>
              <m:t>)</m:t>
            </m:r>
          </m:e>
          <m:sup>
            <m:r>
              <m:t>2</m:t>
            </m:r>
          </m:sup>
        </m:sSup>
        <m:r>
          <m:rPr>
            <m:sty m:val="p"/>
          </m:rPr>
          <m:t>=</m:t>
        </m:r>
        <m:f>
          <m:fPr>
            <m:type m:val="bar"/>
          </m:fPr>
          <m:num>
            <m:sSub>
              <m:e>
                <m:r>
                  <m:t>d</m:t>
                </m:r>
              </m:e>
              <m:sub>
                <m:r>
                  <m:t>F</m:t>
                </m:r>
              </m:sub>
            </m:sSub>
            <m:r>
              <m:rPr>
                <m:sty m:val="p"/>
              </m:rPr>
              <m:t>+</m:t>
            </m:r>
            <m:sSub>
              <m:e>
                <m:r>
                  <m:t>d</m:t>
                </m:r>
              </m:e>
              <m:sub>
                <m:r>
                  <m:t>R</m:t>
                </m:r>
              </m:sub>
            </m:sSub>
          </m:num>
          <m:den>
            <m:r>
              <m:t>d</m:t>
            </m:r>
            <m:r>
              <m:rPr>
                <m:sty m:val="p"/>
              </m:rPr>
              <m:t>+</m:t>
            </m:r>
            <m:r>
              <m:t>1</m:t>
            </m:r>
          </m:den>
        </m:f>
      </m:oMath>
      <w:r>
        <w:t xml:space="preserve">;</w:t>
      </w:r>
    </w:p>
    <w:p>
      <w:pPr>
        <w:numPr>
          <w:ilvl w:val="0"/>
          <w:numId w:val="1005"/>
        </w:numPr>
      </w:pPr>
      <m:oMath>
        <m:r>
          <m:rPr>
            <m:sty m:val="p"/>
            <m:scr m:val="double-struck"/>
          </m:rPr>
          <m:t>E</m:t>
        </m:r>
        <m:r>
          <m:t> </m:t>
        </m:r>
        <m:r>
          <m:rPr>
            <m:sty m:val="p"/>
          </m:rPr>
          <m:t>∥</m:t>
        </m:r>
        <m:sSubSup>
          <m:e>
            <m:r>
              <m:t>ρ</m:t>
            </m:r>
          </m:e>
          <m:sub>
            <m:r>
              <m:t>F</m:t>
            </m:r>
          </m:sub>
          <m:sup>
            <m:r>
              <m:t>x</m:t>
            </m:r>
          </m:sup>
        </m:sSubSup>
        <m:r>
          <m:rPr>
            <m:sty m:val="p"/>
          </m:rPr>
          <m:t>−</m:t>
        </m:r>
        <m:r>
          <m:t>I</m:t>
        </m:r>
        <m:r>
          <m:rPr>
            <m:sty m:val="p"/>
          </m:rPr>
          <m:t>/</m:t>
        </m:r>
        <m:sSub>
          <m:e>
            <m:r>
              <m:t>d</m:t>
            </m:r>
          </m:e>
          <m:sub>
            <m:r>
              <m:t>F</m:t>
            </m:r>
          </m:sub>
        </m:sSub>
        <m:sSub>
          <m:e>
            <m:r>
              <m:rPr>
                <m:sty m:val="p"/>
              </m:rPr>
              <m:t>∥</m:t>
            </m:r>
          </m:e>
          <m:sub>
            <m:r>
              <m:t>1</m:t>
            </m:r>
          </m:sub>
        </m:sSub>
        <m:r>
          <m:rPr>
            <m:sty m:val="p"/>
          </m:rPr>
          <m:t>≤</m:t>
        </m:r>
        <m:r>
          <m:t>b</m:t>
        </m:r>
        <m:box>
          <m:boxPr>
            <m:opEmu m:val="on"/>
          </m:boxPr>
          <m:e>
            <m:r>
              <m:rPr>
                <m:sty m:val="p"/>
              </m:rPr>
              <m:t>:=</m:t>
            </m:r>
          </m:e>
        </m:box>
        <m:rad>
          <m:radPr>
            <m:degHide m:val="on"/>
          </m:radPr>
          <m:deg/>
          <m:e>
            <m:f>
              <m:fPr>
                <m:type m:val="bar"/>
              </m:fPr>
              <m:num>
                <m:sSubSup>
                  <m:e>
                    <m:r>
                      <m:t>d</m:t>
                    </m:r>
                  </m:e>
                  <m:sub>
                    <m:r>
                      <m:t>F</m:t>
                    </m:r>
                  </m:sub>
                  <m:sup>
                    <m:r>
                      <m:t>2</m:t>
                    </m:r>
                  </m:sup>
                </m:sSubSup>
                <m:r>
                  <m:rPr>
                    <m:sty m:val="p"/>
                  </m:rPr>
                  <m:t>−</m:t>
                </m:r>
                <m:r>
                  <m:t>1</m:t>
                </m:r>
              </m:num>
              <m:den>
                <m:sSub>
                  <m:e>
                    <m:r>
                      <m:t>d</m:t>
                    </m:r>
                  </m:e>
                  <m:sub>
                    <m:r>
                      <m:t>F</m:t>
                    </m:r>
                  </m:sub>
                </m:sSub>
                <m:sSub>
                  <m:e>
                    <m:r>
                      <m:t>d</m:t>
                    </m:r>
                  </m:e>
                  <m:sub>
                    <m:r>
                      <m:t>R</m:t>
                    </m:r>
                  </m:sub>
                </m:sSub>
                <m:r>
                  <m:rPr>
                    <m:sty m:val="p"/>
                  </m:rPr>
                  <m:t>+</m:t>
                </m:r>
                <m:r>
                  <m:t>1</m:t>
                </m:r>
              </m:den>
            </m:f>
          </m:e>
        </m:rad>
        <m:r>
          <m:rPr>
            <m:sty m:val="p"/>
          </m:rPr>
          <m:t>&lt;</m:t>
        </m:r>
        <m:rad>
          <m:radPr>
            <m:degHide m:val="on"/>
          </m:radPr>
          <m:deg/>
          <m:e>
            <m:sSub>
              <m:e>
                <m:r>
                  <m:t>d</m:t>
                </m:r>
              </m:e>
              <m:sub>
                <m:r>
                  <m:t>F</m:t>
                </m:r>
              </m:sub>
            </m:sSub>
            <m:r>
              <m:rPr>
                <m:sty m:val="p"/>
              </m:rPr>
              <m:t>/</m:t>
            </m:r>
            <m:sSub>
              <m:e>
                <m:r>
                  <m:t>d</m:t>
                </m:r>
              </m:e>
              <m:sub>
                <m:r>
                  <m:t>R</m:t>
                </m:r>
              </m:sub>
            </m:sSub>
          </m:e>
        </m:rad>
      </m:oMath>
      <w:r>
        <w:t xml:space="preserve">;</w:t>
      </w:r>
    </w:p>
    <w:p>
      <w:pPr>
        <w:numPr>
          <w:ilvl w:val="0"/>
          <w:numId w:val="1005"/>
        </w:numPr>
      </w:pPr>
      <m:oMath>
        <m:r>
          <m:rPr>
            <m:sty m:val="p"/>
            <m:scr m:val="double-struck"/>
          </m:rPr>
          <m:t>E</m:t>
        </m:r>
        <m:r>
          <m:rPr>
            <m:sty m:val="p"/>
          </m:rPr>
          <m:t>[</m:t>
        </m:r>
        <m:f>
          <m:fPr>
            <m:type m:val="lin"/>
          </m:fPr>
          <m:num>
            <m:r>
              <m:t>1</m:t>
            </m:r>
          </m:num>
          <m:den>
            <m:r>
              <m:t>2</m:t>
            </m:r>
          </m:den>
        </m:f>
        <m:r>
          <m:rPr>
            <m:sty m:val="p"/>
          </m:rPr>
          <m:t>−</m:t>
        </m:r>
        <m:sSub>
          <m:e>
            <m:r>
              <m:t>p</m:t>
            </m:r>
          </m:e>
          <m:sub>
            <m:r>
              <m:rPr>
                <m:sty m:val="p"/>
              </m:rPr>
              <m:t>e</m:t>
            </m:r>
            <m:r>
              <m:rPr>
                <m:sty m:val="p"/>
              </m:rPr>
              <m:t>r</m:t>
            </m:r>
            <m:r>
              <m:rPr>
                <m:sty m:val="p"/>
              </m:rPr>
              <m:t>r</m:t>
            </m:r>
          </m:sub>
        </m:sSub>
        <m:r>
          <m:rPr>
            <m:sty m:val="p"/>
          </m:rPr>
          <m:t>]</m:t>
        </m:r>
        <m:r>
          <m:rPr>
            <m:sty m:val="p"/>
          </m:rPr>
          <m:t>≤</m:t>
        </m:r>
        <m:f>
          <m:fPr>
            <m:type m:val="lin"/>
          </m:fPr>
          <m:num>
            <m:r>
              <m:t>1</m:t>
            </m:r>
          </m:num>
          <m:den>
            <m:r>
              <m:t>2</m:t>
            </m:r>
          </m:den>
        </m:f>
        <m:r>
          <m:t>b</m:t>
        </m:r>
      </m:oMath>
      <w:r>
        <w:t xml:space="preserve">;</w:t>
      </w:r>
    </w:p>
    <w:p>
      <w:pPr>
        <w:numPr>
          <w:ilvl w:val="0"/>
          <w:numId w:val="1005"/>
        </w:numPr>
      </w:pPr>
      <w:r>
        <w:t xml:space="preserve">for</w:t>
      </w:r>
      <w:r>
        <w:t xml:space="preserve"> </w:t>
      </w:r>
      <m:oMath>
        <m:r>
          <m:t>0</m:t>
        </m:r>
        <m:r>
          <m:rPr>
            <m:sty m:val="p"/>
          </m:rPr>
          <m:t>≤</m:t>
        </m:r>
        <m:r>
          <m:t>ε</m:t>
        </m:r>
        <m:r>
          <m:rPr>
            <m:sty m:val="p"/>
          </m:rPr>
          <m:t>&lt;</m:t>
        </m:r>
        <m:f>
          <m:fPr>
            <m:type m:val="lin"/>
          </m:fPr>
          <m:num>
            <m:r>
              <m:t>1</m:t>
            </m:r>
          </m:num>
          <m:den>
            <m:r>
              <m:t>2</m:t>
            </m:r>
          </m:den>
        </m:f>
      </m:oMath>
      <w:r>
        <w:t xml:space="preserve">,</w:t>
      </w:r>
      <w:r>
        <w:t xml:space="preserve"> </w:t>
      </w:r>
      <m:oMath>
        <m:r>
          <m:t> </m:t>
        </m:r>
        <m:r>
          <m:rPr>
            <m:sty m:val="p"/>
            <m:nor m:val="1"/>
          </m:rPr>
          <w:rPr>
            <w:i w:val="0"/>
          </w:rPr>
          <m:t>Pr</m:t>
        </m:r>
        <m:r>
          <m:rPr>
            <m:sty m:val="p"/>
          </m:rPr>
          <m:t>(</m:t>
        </m:r>
        <m:sSub>
          <m:e>
            <m:r>
              <m:t>p</m:t>
            </m:r>
          </m:e>
          <m:sub>
            <m:r>
              <m:rPr>
                <m:sty m:val="p"/>
              </m:rPr>
              <m:t>e</m:t>
            </m:r>
            <m:r>
              <m:rPr>
                <m:sty m:val="p"/>
              </m:rPr>
              <m:t>r</m:t>
            </m:r>
            <m:r>
              <m:rPr>
                <m:sty m:val="p"/>
              </m:rPr>
              <m:t>r</m:t>
            </m:r>
          </m:sub>
        </m:sSub>
        <m:r>
          <m:rPr>
            <m:sty m:val="p"/>
          </m:rPr>
          <m:t>≤</m:t>
        </m:r>
        <m:r>
          <m:t>ε</m:t>
        </m:r>
        <m:r>
          <m:rPr>
            <m:sty m:val="p"/>
          </m:rPr>
          <m:t>)</m:t>
        </m:r>
        <m:r>
          <m:rPr>
            <m:sty m:val="p"/>
          </m:rPr>
          <m:t>≤</m:t>
        </m:r>
        <m:r>
          <m:t>b</m:t>
        </m:r>
        <m:r>
          <m:rPr>
            <m:sty m:val="p"/>
          </m:rPr>
          <m:t>/</m:t>
        </m:r>
        <m:r>
          <m:rPr>
            <m:sty m:val="p"/>
          </m:rPr>
          <m:t>(</m:t>
        </m:r>
        <m:r>
          <m:t>1</m:t>
        </m:r>
        <m:r>
          <m:rPr>
            <m:sty m:val="p"/>
          </m:rPr>
          <m:t>−</m:t>
        </m:r>
        <m:r>
          <m:t>2</m:t>
        </m:r>
        <m:r>
          <m:t>ε</m:t>
        </m:r>
        <m:r>
          <m:rPr>
            <m:sty m:val="p"/>
          </m:rPr>
          <m:t>)</m:t>
        </m:r>
      </m:oMath>
      <w:r>
        <w:t xml:space="preserve">;</w:t>
      </w:r>
    </w:p>
    <w:p>
      <w:pPr>
        <w:numPr>
          <w:ilvl w:val="0"/>
          <w:numId w:val="1005"/>
        </w:numPr>
      </w:pPr>
      <w:r>
        <w:t xml:space="preserve">for</w:t>
      </w:r>
      <w:r>
        <w:t xml:space="preserve"> </w:t>
      </w:r>
      <m:oMath>
        <m:r>
          <m:t>M</m:t>
        </m:r>
      </m:oMath>
      <w:r>
        <w:t xml:space="preserve"> </w:t>
      </w:r>
      <w:r>
        <w:t xml:space="preserve">(candidate class, fragment) pairs fixed in advance with the same fragment dimensions, the probability that any qualifies at a single time is at most</w:t>
      </w:r>
      <w:r>
        <w:t xml:space="preserve"> </w:t>
      </w:r>
      <m:oMath>
        <m:r>
          <m:rPr>
            <m:sty m:val="p"/>
            <m:nor m:val="1"/>
          </m:rPr>
          <w:rPr>
            <w:i w:val="0"/>
          </w:rPr>
          <m:t>min</m:t>
        </m:r>
        <m:r>
          <m:rPr>
            <m:sty m:val="p"/>
          </m:rPr>
          <m:t>{</m:t>
        </m:r>
        <m:r>
          <m:t>1</m:t>
        </m:r>
        <m:r>
          <m:rPr>
            <m:sty m:val="p"/>
          </m:rPr>
          <m:t>,</m:t>
        </m:r>
        <m:r>
          <m:t>M</m:t>
        </m:r>
        <m:r>
          <m:t>b</m:t>
        </m:r>
        <m:r>
          <m:rPr>
            <m:sty m:val="p"/>
          </m:rPr>
          <m:t>/</m:t>
        </m:r>
        <m:r>
          <m:rPr>
            <m:sty m:val="p"/>
          </m:rPr>
          <m:t>(</m:t>
        </m:r>
        <m:r>
          <m:t>1</m:t>
        </m:r>
        <m:r>
          <m:rPr>
            <m:sty m:val="p"/>
          </m:rPr>
          <m:t>−</m:t>
        </m:r>
        <m:r>
          <m:t>2</m:t>
        </m:r>
        <m:r>
          <m:t>ε</m:t>
        </m:r>
        <m:r>
          <m:rPr>
            <m:sty m:val="p"/>
          </m:rPr>
          <m:t>)</m:t>
        </m:r>
        <m:r>
          <m:rPr>
            <m:sty m:val="p"/>
          </m:rPr>
          <m:t>}</m:t>
        </m:r>
      </m:oMath>
      <w:r>
        <w:t xml:space="preserve">. For unequal dimensions replace</w:t>
      </w:r>
      <w:r>
        <w:t xml:space="preserve"> </w:t>
      </w:r>
      <m:oMath>
        <m:r>
          <m:t>M</m:t>
        </m:r>
        <m:r>
          <m:t>b</m:t>
        </m:r>
      </m:oMath>
      <w:r>
        <w:t xml:space="preserve"> </w:t>
      </w:r>
      <w:r>
        <w:t xml:space="preserve">by the sum of their individual</w:t>
      </w:r>
      <w:r>
        <w:t xml:space="preserve"> </w:t>
      </w:r>
      <m:oMath>
        <m:r>
          <m:t>b</m:t>
        </m:r>
      </m:oMath>
      <w:r>
        <w:t xml:space="preserve"> </w:t>
      </w:r>
      <w:r>
        <w:t xml:space="preserve">bounds.</w:t>
      </w:r>
    </w:p>
    <w:p>
      <w:pPr>
        <w:pStyle w:val="FirstParagraph"/>
      </w:pPr>
      <w:r>
        <w:rPr>
          <w:i/>
          <w:iCs/>
        </w:rPr>
        <w:t xml:space="preserve">Proof.</w:t>
      </w:r>
      <w:r>
        <w:t xml:space="preserve"> </w:t>
      </w:r>
      <w:r>
        <w:t xml:space="preserve">The unitary group acts transitively on unit vectors modulo phase, and the invariant probability measure on this homogeneous space is unique, so each</w:t>
      </w:r>
      <w:r>
        <w:t xml:space="preserve"> </w:t>
      </w:r>
      <m:oMath>
        <m:r>
          <m:rPr>
            <m:sty m:val="p"/>
          </m:rPr>
          <m:t>∣</m:t>
        </m:r>
        <m:sSub>
          <m:e>
            <m:r>
              <m:t>ψ</m:t>
            </m:r>
          </m:e>
          <m:sub>
            <m:r>
              <m:t>x</m:t>
            </m:r>
          </m:sub>
        </m:sSub>
        <m:r>
          <m:rPr>
            <m:sty m:val="p"/>
          </m:rPr>
          <m:t>⟩</m:t>
        </m:r>
      </m:oMath>
      <w:r>
        <w:t xml:space="preserve"> </w:t>
      </w:r>
      <w:r>
        <w:t xml:space="preserve">is Haar distributed. So is</w:t>
      </w:r>
      <w:r>
        <w:t xml:space="preserve"> </w:t>
      </w:r>
      <m:oMath>
        <m:sSup>
          <m:e>
            <m:r>
              <m:t>V</m:t>
            </m:r>
          </m:e>
          <m:sup>
            <m:r>
              <m:rPr>
                <m:sty m:val="p"/>
              </m:rPr>
              <m:t>†</m:t>
            </m:r>
          </m:sup>
        </m:sSup>
        <m:r>
          <m:rPr>
            <m:sty m:val="p"/>
          </m:rPr>
          <m:t>∣</m:t>
        </m:r>
        <m:sSub>
          <m:e>
            <m:r>
              <m:t>ψ</m:t>
            </m:r>
          </m:e>
          <m:sub>
            <m:r>
              <m:t>x</m:t>
            </m:r>
          </m:sub>
        </m:sSub>
        <m:r>
          <m:rPr>
            <m:sty m:val="p"/>
          </m:rPr>
          <m:t>⟩</m:t>
        </m:r>
      </m:oMath>
      <w:r>
        <w:t xml:space="preserve">, because</w:t>
      </w:r>
      <w:r>
        <w:t xml:space="preserve"> </w:t>
      </w:r>
      <m:oMath>
        <m:r>
          <m:t>V</m:t>
        </m:r>
      </m:oMath>
      <w:r>
        <w:t xml:space="preserve"> </w:t>
      </w:r>
      <w:r>
        <w:t xml:space="preserve">is fixed. For a Haar vector,</w:t>
      </w:r>
      <w:r>
        <w:t xml:space="preserve"> </w:t>
      </w:r>
      <m:oMath>
        <m:r>
          <m:rPr>
            <m:sty m:val="p"/>
            <m:scr m:val="double-struck"/>
          </m:rPr>
          <m:t>E</m:t>
        </m:r>
        <m:r>
          <m:t> </m:t>
        </m:r>
        <m:sSup>
          <m:e>
            <m:r>
              <m:rPr>
                <m:sty m:val="p"/>
              </m:rPr>
              <m:t>(</m:t>
            </m:r>
            <m:r>
              <m:rPr>
                <m:sty m:val="p"/>
              </m:rPr>
              <m:t>∣</m:t>
            </m:r>
            <m:r>
              <m:t>ψ</m:t>
            </m:r>
            <m:r>
              <m:rPr>
                <m:sty m:val="p"/>
              </m:rPr>
              <m:t>⟩</m:t>
            </m:r>
            <m:r>
              <m:rPr>
                <m:sty m:val="p"/>
              </m:rPr>
              <m:t>⟨</m:t>
            </m:r>
            <m:r>
              <m:t>ψ</m:t>
            </m:r>
            <m:r>
              <m:rPr>
                <m:sty m:val="p"/>
              </m:rPr>
              <m:t>∣</m:t>
            </m:r>
            <m:r>
              <m:rPr>
                <m:sty m:val="p"/>
              </m:rPr>
              <m:t>)</m:t>
            </m:r>
          </m:e>
          <m:sup>
            <m:r>
              <m:rPr>
                <m:sty m:val="p"/>
              </m:rPr>
              <m:t>⊗</m:t>
            </m:r>
            <m:r>
              <m:t>2</m:t>
            </m:r>
          </m:sup>
        </m:sSup>
        <m:r>
          <m:rPr>
            <m:sty m:val="p"/>
          </m:rPr>
          <m:t>=</m:t>
        </m:r>
        <m:r>
          <m:rPr>
            <m:sty m:val="p"/>
          </m:rPr>
          <m:t>(</m:t>
        </m:r>
        <m:r>
          <m:t>I</m:t>
        </m:r>
        <m:r>
          <m:rPr>
            <m:sty m:val="p"/>
          </m:rPr>
          <m:t>+</m:t>
        </m:r>
        <m:r>
          <m:rPr>
            <m:sty m:val="p"/>
            <m:scr m:val="double-struck"/>
          </m:rPr>
          <m:t>F</m:t>
        </m:r>
        <m:r>
          <m:rPr>
            <m:sty m:val="p"/>
          </m:rPr>
          <m:t>)</m:t>
        </m:r>
        <m:r>
          <m:rPr>
            <m:sty m:val="p"/>
          </m:rPr>
          <m:t>/</m:t>
        </m:r>
        <m:r>
          <m:rPr>
            <m:sty m:val="p"/>
          </m:rPr>
          <m:t>(</m:t>
        </m:r>
        <m:r>
          <m:t>d</m:t>
        </m:r>
        <m:r>
          <m:rPr>
            <m:sty m:val="p"/>
          </m:rPr>
          <m:t>(</m:t>
        </m:r>
        <m:r>
          <m:t>d</m:t>
        </m:r>
        <m:r>
          <m:rPr>
            <m:sty m:val="p"/>
          </m:rPr>
          <m:t>+</m:t>
        </m:r>
        <m:r>
          <m:t>1</m:t>
        </m:r>
        <m:r>
          <m:rPr>
            <m:sty m:val="p"/>
          </m:rPr>
          <m:t>)</m:t>
        </m:r>
        <m:r>
          <m:rPr>
            <m:sty m:val="p"/>
          </m:rPr>
          <m:t>)</m:t>
        </m:r>
      </m:oMath>
      <w:r>
        <w:t xml:space="preserve">, where</w:t>
      </w:r>
      <w:r>
        <w:t xml:space="preserve"> </w:t>
      </w:r>
      <m:oMath>
        <m:r>
          <m:rPr>
            <m:sty m:val="p"/>
            <m:scr m:val="double-struck"/>
          </m:rPr>
          <m:t>F</m:t>
        </m:r>
      </m:oMath>
      <w:r>
        <w:t xml:space="preserve"> </w:t>
      </w:r>
      <w:r>
        <w:t xml:space="preserve">is the swap of the two copies; this is the normalised projector onto the symmetric subspace. Writing</w:t>
      </w:r>
      <w:r>
        <w:t xml:space="preserve"> </w:t>
      </w:r>
      <m:oMath>
        <m:r>
          <m:rPr>
            <m:sty m:val="p"/>
            <m:nor m:val="1"/>
          </m:rPr>
          <w:rPr>
            <w:i w:val="0"/>
          </w:rPr>
          <m:t>Tr</m:t>
        </m:r>
        <m:sSubSup>
          <m:e>
            <m:r>
              <m:t>ρ</m:t>
            </m:r>
          </m:e>
          <m:sub>
            <m:r>
              <m:t>F</m:t>
            </m:r>
          </m:sub>
          <m:sup>
            <m:r>
              <m:t>2</m:t>
            </m:r>
          </m:sup>
        </m:sSubSup>
        <m:r>
          <m:rPr>
            <m:sty m:val="p"/>
          </m:rPr>
          <m:t>=</m:t>
        </m:r>
        <m:r>
          <m:rPr>
            <m:sty m:val="p"/>
            <m:nor m:val="1"/>
          </m:rPr>
          <w:rPr>
            <w:i w:val="0"/>
          </w:rPr>
          <m:t>Tr</m:t>
        </m:r>
        <m:r>
          <m:rPr>
            <m:sty m:val="p"/>
          </m:rPr>
          <m:t>[</m:t>
        </m:r>
        <m:r>
          <m:rPr>
            <m:sty m:val="p"/>
          </m:rPr>
          <m:t>(</m:t>
        </m:r>
        <m:sSub>
          <m:e>
            <m:r>
              <m:rPr>
                <m:sty m:val="p"/>
                <m:scr m:val="double-struck"/>
              </m:rPr>
              <m:t>F</m:t>
            </m:r>
          </m:e>
          <m:sub>
            <m:r>
              <m:t>F</m:t>
            </m:r>
          </m:sub>
        </m:sSub>
        <m:r>
          <m:rPr>
            <m:sty m:val="p"/>
          </m:rPr>
          <m:t>⊗</m:t>
        </m:r>
        <m:sSub>
          <m:e>
            <m:r>
              <m:t>I</m:t>
            </m:r>
          </m:e>
          <m:sub>
            <m:r>
              <m:t>R</m:t>
            </m:r>
            <m:r>
              <m:t>R</m:t>
            </m:r>
            <m:r>
              <m:rPr>
                <m:sty m:val="p"/>
              </m:rPr>
              <m:t>′</m:t>
            </m:r>
          </m:sub>
        </m:sSub>
        <m:r>
          <m:rPr>
            <m:sty m:val="p"/>
          </m:rPr>
          <m:t>)</m:t>
        </m:r>
        <m:sSup>
          <m:e>
            <m:r>
              <m:rPr>
                <m:sty m:val="p"/>
              </m:rPr>
              <m:t>(</m:t>
            </m:r>
            <m:r>
              <m:rPr>
                <m:sty m:val="p"/>
              </m:rPr>
              <m:t>∣</m:t>
            </m:r>
            <m:r>
              <m:t>ψ</m:t>
            </m:r>
            <m:r>
              <m:rPr>
                <m:sty m:val="p"/>
              </m:rPr>
              <m:t>⟩</m:t>
            </m:r>
            <m:r>
              <m:rPr>
                <m:sty m:val="p"/>
              </m:rPr>
              <m:t>⟨</m:t>
            </m:r>
            <m:r>
              <m:t>ψ</m:t>
            </m:r>
            <m:r>
              <m:rPr>
                <m:sty m:val="p"/>
              </m:rPr>
              <m:t>∣</m:t>
            </m:r>
            <m:r>
              <m:rPr>
                <m:sty m:val="p"/>
              </m:rPr>
              <m:t>)</m:t>
            </m:r>
          </m:e>
          <m:sup>
            <m:r>
              <m:rPr>
                <m:sty m:val="p"/>
              </m:rPr>
              <m:t>⊗</m:t>
            </m:r>
            <m:r>
              <m:t>2</m:t>
            </m:r>
          </m:sup>
        </m:sSup>
        <m:r>
          <m:rPr>
            <m:sty m:val="p"/>
          </m:rPr>
          <m:t>]</m:t>
        </m:r>
      </m:oMath>
      <w:r>
        <w:t xml:space="preserve"> </w:t>
      </w:r>
      <w:r>
        <w:t xml:space="preserve">and using</w:t>
      </w:r>
      <w:r>
        <w:t xml:space="preserve"> </w:t>
      </w:r>
      <m:oMath>
        <m:r>
          <m:rPr>
            <m:sty m:val="p"/>
            <m:nor m:val="1"/>
          </m:rPr>
          <w:rPr>
            <w:i w:val="0"/>
          </w:rPr>
          <m:t>Tr</m:t>
        </m:r>
        <m:r>
          <m:rPr>
            <m:sty m:val="p"/>
          </m:rPr>
          <m:t>(</m:t>
        </m:r>
        <m:sSub>
          <m:e>
            <m:r>
              <m:rPr>
                <m:sty m:val="p"/>
                <m:scr m:val="double-struck"/>
              </m:rPr>
              <m:t>F</m:t>
            </m:r>
          </m:e>
          <m:sub>
            <m:r>
              <m:t>F</m:t>
            </m:r>
          </m:sub>
        </m:sSub>
        <m:r>
          <m:rPr>
            <m:sty m:val="p"/>
          </m:rPr>
          <m:t>⊗</m:t>
        </m:r>
        <m:sSub>
          <m:e>
            <m:r>
              <m:t>I</m:t>
            </m:r>
          </m:e>
          <m:sub>
            <m:r>
              <m:t>R</m:t>
            </m:r>
            <m:r>
              <m:t>R</m:t>
            </m:r>
            <m:r>
              <m:rPr>
                <m:sty m:val="p"/>
              </m:rPr>
              <m:t>′</m:t>
            </m:r>
          </m:sub>
        </m:sSub>
        <m:r>
          <m:rPr>
            <m:sty m:val="p"/>
          </m:rPr>
          <m:t>)</m:t>
        </m:r>
        <m:r>
          <m:rPr>
            <m:sty m:val="p"/>
          </m:rPr>
          <m:t>=</m:t>
        </m:r>
        <m:sSub>
          <m:e>
            <m:r>
              <m:t>d</m:t>
            </m:r>
          </m:e>
          <m:sub>
            <m:r>
              <m:t>F</m:t>
            </m:r>
          </m:sub>
        </m:sSub>
        <m:sSubSup>
          <m:e>
            <m:r>
              <m:t>d</m:t>
            </m:r>
          </m:e>
          <m:sub>
            <m:r>
              <m:t>R</m:t>
            </m:r>
          </m:sub>
          <m:sup>
            <m:r>
              <m:t>2</m:t>
            </m:r>
          </m:sup>
        </m:sSubSup>
      </m:oMath>
      <w:r>
        <w:t xml:space="preserve"> </w:t>
      </w:r>
      <w:r>
        <w:t xml:space="preserve">and</w:t>
      </w:r>
      <w:r>
        <w:t xml:space="preserve"> </w:t>
      </w:r>
      <m:oMath>
        <m:r>
          <m:rPr>
            <m:sty m:val="p"/>
            <m:nor m:val="1"/>
          </m:rPr>
          <w:rPr>
            <w:i w:val="0"/>
          </w:rPr>
          <m:t>Tr</m:t>
        </m:r>
        <m:r>
          <m:rPr>
            <m:sty m:val="p"/>
          </m:rPr>
          <m:t>(</m:t>
        </m:r>
        <m:sSub>
          <m:e>
            <m:r>
              <m:rPr>
                <m:sty m:val="p"/>
                <m:scr m:val="double-struck"/>
              </m:rPr>
              <m:t>F</m:t>
            </m:r>
          </m:e>
          <m:sub>
            <m:r>
              <m:t>F</m:t>
            </m:r>
          </m:sub>
        </m:sSub>
        <m:sSub>
          <m:e>
            <m:r>
              <m:rPr>
                <m:sty m:val="p"/>
                <m:scr m:val="double-struck"/>
              </m:rPr>
              <m:t>F</m:t>
            </m:r>
          </m:e>
          <m:sub>
            <m:r>
              <m:t>F</m:t>
            </m:r>
          </m:sub>
        </m:sSub>
        <m:r>
          <m:rPr>
            <m:sty m:val="p"/>
          </m:rPr>
          <m:t>⊗</m:t>
        </m:r>
        <m:sSub>
          <m:e>
            <m:r>
              <m:rPr>
                <m:sty m:val="p"/>
                <m:scr m:val="double-struck"/>
              </m:rPr>
              <m:t>F</m:t>
            </m:r>
          </m:e>
          <m:sub>
            <m:r>
              <m:t>R</m:t>
            </m:r>
          </m:sub>
        </m:sSub>
        <m:r>
          <m:rPr>
            <m:sty m:val="p"/>
          </m:rPr>
          <m:t>)</m:t>
        </m:r>
        <m:r>
          <m:rPr>
            <m:sty m:val="p"/>
          </m:rPr>
          <m:t>=</m:t>
        </m:r>
        <m:sSubSup>
          <m:e>
            <m:r>
              <m:t>d</m:t>
            </m:r>
          </m:e>
          <m:sub>
            <m:r>
              <m:t>F</m:t>
            </m:r>
          </m:sub>
          <m:sup>
            <m:r>
              <m:t>2</m:t>
            </m:r>
          </m:sup>
        </m:sSubSup>
        <m:sSub>
          <m:e>
            <m:r>
              <m:t>d</m:t>
            </m:r>
          </m:e>
          <m:sub>
            <m:r>
              <m:t>R</m:t>
            </m:r>
          </m:sub>
        </m:sSub>
      </m:oMath>
      <w:r>
        <w:t xml:space="preserve"> </w:t>
      </w:r>
      <w:r>
        <w:t xml:space="preserve">gives</w:t>
      </w:r>
    </w:p>
    <w:p>
      <w:pPr>
        <w:pStyle w:val="BodyText"/>
      </w:pPr>
      <m:oMathPara>
        <m:oMathParaPr>
          <m:jc m:val="center"/>
        </m:oMathParaPr>
        <m:oMath>
          <m:r>
            <m:rPr>
              <m:sty m:val="p"/>
              <m:scr m:val="double-struck"/>
            </m:rPr>
            <m:t>E</m:t>
          </m:r>
          <m:r>
            <m:t> </m:t>
          </m:r>
          <m:r>
            <m:rPr>
              <m:sty m:val="p"/>
              <m:nor m:val="1"/>
            </m:rPr>
            <w:rPr>
              <w:i w:val="0"/>
            </w:rPr>
            <m:t>Tr</m:t>
          </m:r>
          <m:sSubSup>
            <m:e>
              <m:r>
                <m:t>ρ</m:t>
              </m:r>
            </m:e>
            <m:sub>
              <m:r>
                <m:t>F</m:t>
              </m:r>
            </m:sub>
            <m:sup>
              <m:r>
                <m:t>2</m:t>
              </m:r>
            </m:sup>
          </m:sSubSup>
          <m:r>
            <m:rPr>
              <m:sty m:val="p"/>
            </m:rPr>
            <m:t>=</m:t>
          </m:r>
          <m:f>
            <m:fPr>
              <m:type m:val="bar"/>
            </m:fPr>
            <m:num>
              <m:sSub>
                <m:e>
                  <m:r>
                    <m:t>d</m:t>
                  </m:r>
                </m:e>
                <m:sub>
                  <m:r>
                    <m:t>F</m:t>
                  </m:r>
                </m:sub>
              </m:sSub>
              <m:sSubSup>
                <m:e>
                  <m:r>
                    <m:t>d</m:t>
                  </m:r>
                </m:e>
                <m:sub>
                  <m:r>
                    <m:t>R</m:t>
                  </m:r>
                </m:sub>
                <m:sup>
                  <m:r>
                    <m:t>2</m:t>
                  </m:r>
                </m:sup>
              </m:sSubSup>
              <m:r>
                <m:rPr>
                  <m:sty m:val="p"/>
                </m:rPr>
                <m:t>+</m:t>
              </m:r>
              <m:sSubSup>
                <m:e>
                  <m:r>
                    <m:t>d</m:t>
                  </m:r>
                </m:e>
                <m:sub>
                  <m:r>
                    <m:t>F</m:t>
                  </m:r>
                </m:sub>
                <m:sup>
                  <m:r>
                    <m:t>2</m:t>
                  </m:r>
                </m:sup>
              </m:sSubSup>
              <m:sSub>
                <m:e>
                  <m:r>
                    <m:t>d</m:t>
                  </m:r>
                </m:e>
                <m:sub>
                  <m:r>
                    <m:t>R</m:t>
                  </m:r>
                </m:sub>
              </m:sSub>
            </m:num>
            <m:den>
              <m:r>
                <m:t>d</m:t>
              </m:r>
              <m:r>
                <m:rPr>
                  <m:sty m:val="p"/>
                </m:rPr>
                <m:t>(</m:t>
              </m:r>
              <m:r>
                <m:t>d</m:t>
              </m:r>
              <m:r>
                <m:rPr>
                  <m:sty m:val="p"/>
                </m:rPr>
                <m:t>+</m:t>
              </m:r>
              <m:r>
                <m:t>1</m:t>
              </m:r>
              <m:r>
                <m:rPr>
                  <m:sty m:val="p"/>
                </m:rPr>
                <m:t>)</m:t>
              </m:r>
            </m:den>
          </m:f>
          <m:r>
            <m:rPr>
              <m:sty m:val="p"/>
            </m:rPr>
            <m:t>=</m:t>
          </m:r>
          <m:f>
            <m:fPr>
              <m:type m:val="bar"/>
            </m:fPr>
            <m:num>
              <m:sSub>
                <m:e>
                  <m:r>
                    <m:t>d</m:t>
                  </m:r>
                </m:e>
                <m:sub>
                  <m:r>
                    <m:t>F</m:t>
                  </m:r>
                </m:sub>
              </m:sSub>
              <m:r>
                <m:rPr>
                  <m:sty m:val="p"/>
                </m:rPr>
                <m:t>+</m:t>
              </m:r>
              <m:sSub>
                <m:e>
                  <m:r>
                    <m:t>d</m:t>
                  </m:r>
                </m:e>
                <m:sub>
                  <m:r>
                    <m:t>R</m:t>
                  </m:r>
                </m:sub>
              </m:sSub>
            </m:num>
            <m:den>
              <m:r>
                <m:t>d</m:t>
              </m:r>
              <m:r>
                <m:rPr>
                  <m:sty m:val="p"/>
                </m:rPr>
                <m:t>+</m:t>
              </m:r>
              <m:r>
                <m:t>1</m:t>
              </m:r>
            </m:den>
          </m:f>
          <m:r>
            <m:rPr>
              <m:sty m:val="p"/>
            </m:rPr>
            <m:t>,</m:t>
          </m:r>
        </m:oMath>
      </m:oMathPara>
    </w:p>
    <w:p>
      <w:pPr>
        <w:pStyle w:val="FirstParagraph"/>
      </w:pPr>
      <w:r>
        <w:t xml:space="preserve">which is (i) [Page 1993]. Next,</w:t>
      </w:r>
      <w:r>
        <w:t xml:space="preserve"> </w:t>
      </w:r>
      <m:oMath>
        <m:r>
          <m:rPr>
            <m:sty m:val="p"/>
          </m:rPr>
          <m:t>∥</m:t>
        </m:r>
        <m:sSub>
          <m:e>
            <m:r>
              <m:t>ρ</m:t>
            </m:r>
          </m:e>
          <m:sub>
            <m:r>
              <m:t>F</m:t>
            </m:r>
          </m:sub>
        </m:sSub>
        <m:r>
          <m:rPr>
            <m:sty m:val="p"/>
          </m:rPr>
          <m:t>−</m:t>
        </m:r>
        <m:r>
          <m:t>I</m:t>
        </m:r>
        <m:r>
          <m:rPr>
            <m:sty m:val="p"/>
          </m:rPr>
          <m:t>/</m:t>
        </m:r>
        <m:sSub>
          <m:e>
            <m:r>
              <m:t>d</m:t>
            </m:r>
          </m:e>
          <m:sub>
            <m:r>
              <m:t>F</m:t>
            </m:r>
          </m:sub>
        </m:sSub>
        <m:sSubSup>
          <m:e>
            <m:r>
              <m:rPr>
                <m:sty m:val="p"/>
              </m:rPr>
              <m:t>∥</m:t>
            </m:r>
          </m:e>
          <m:sub>
            <m:r>
              <m:t>2</m:t>
            </m:r>
          </m:sub>
          <m:sup>
            <m:r>
              <m:t>2</m:t>
            </m:r>
          </m:sup>
        </m:sSubSup>
        <m:r>
          <m:rPr>
            <m:sty m:val="p"/>
          </m:rPr>
          <m:t>=</m:t>
        </m:r>
        <m:r>
          <m:rPr>
            <m:sty m:val="p"/>
            <m:nor m:val="1"/>
          </m:rPr>
          <w:rPr>
            <w:i w:val="0"/>
          </w:rPr>
          <m:t>Tr</m:t>
        </m:r>
        <m:sSubSup>
          <m:e>
            <m:r>
              <m:t>ρ</m:t>
            </m:r>
          </m:e>
          <m:sub>
            <m:r>
              <m:t>F</m:t>
            </m:r>
          </m:sub>
          <m:sup>
            <m:r>
              <m:t>2</m:t>
            </m:r>
          </m:sup>
        </m:sSubSup>
        <m:r>
          <m:rPr>
            <m:sty m:val="p"/>
          </m:rPr>
          <m:t>−</m:t>
        </m:r>
        <m:r>
          <m:t>1</m:t>
        </m:r>
        <m:r>
          <m:rPr>
            <m:sty m:val="p"/>
          </m:rPr>
          <m:t>/</m:t>
        </m:r>
        <m:sSub>
          <m:e>
            <m:r>
              <m:t>d</m:t>
            </m:r>
          </m:e>
          <m:sub>
            <m:r>
              <m:t>F</m:t>
            </m:r>
          </m:sub>
        </m:sSub>
      </m:oMath>
      <w:r>
        <w:t xml:space="preserve">, whose expectation is</w:t>
      </w:r>
      <w:r>
        <w:t xml:space="preserve"> </w:t>
      </w:r>
      <m:oMath>
        <m:r>
          <m:rPr>
            <m:sty m:val="p"/>
          </m:rPr>
          <m:t>(</m:t>
        </m:r>
        <m:sSubSup>
          <m:e>
            <m:r>
              <m:t>d</m:t>
            </m:r>
          </m:e>
          <m:sub>
            <m:r>
              <m:t>F</m:t>
            </m:r>
          </m:sub>
          <m:sup>
            <m:r>
              <m:t>2</m:t>
            </m:r>
          </m:sup>
        </m:sSubSup>
        <m:r>
          <m:rPr>
            <m:sty m:val="p"/>
          </m:rPr>
          <m:t>−</m:t>
        </m:r>
        <m:r>
          <m:t>1</m:t>
        </m:r>
        <m:r>
          <m:rPr>
            <m:sty m:val="p"/>
          </m:rPr>
          <m:t>)</m:t>
        </m:r>
        <m:r>
          <m:rPr>
            <m:sty m:val="p"/>
          </m:rPr>
          <m:t>/</m:t>
        </m:r>
        <m:r>
          <m:rPr>
            <m:sty m:val="p"/>
          </m:rPr>
          <m:t>(</m:t>
        </m:r>
        <m:sSub>
          <m:e>
            <m:r>
              <m:t>d</m:t>
            </m:r>
          </m:e>
          <m:sub>
            <m:r>
              <m:t>F</m:t>
            </m:r>
          </m:sub>
        </m:sSub>
        <m:r>
          <m:rPr>
            <m:sty m:val="p"/>
          </m:rPr>
          <m:t>(</m:t>
        </m:r>
        <m:r>
          <m:t>d</m:t>
        </m:r>
        <m:r>
          <m:rPr>
            <m:sty m:val="p"/>
          </m:rPr>
          <m:t>+</m:t>
        </m:r>
        <m:r>
          <m:t>1</m:t>
        </m:r>
        <m:r>
          <m:rPr>
            <m:sty m:val="p"/>
          </m:rPr>
          <m:t>)</m:t>
        </m:r>
        <m:r>
          <m:rPr>
            <m:sty m:val="p"/>
          </m:rPr>
          <m:t>)</m:t>
        </m:r>
      </m:oMath>
      <w:r>
        <w:t xml:space="preserve">. By Cauchy-Schwarz</w:t>
      </w:r>
      <w:r>
        <w:t xml:space="preserve"> </w:t>
      </w:r>
      <m:oMath>
        <m:r>
          <m:rPr>
            <m:sty m:val="p"/>
          </m:rPr>
          <m:t>∥</m:t>
        </m:r>
        <m:r>
          <m:t>A</m:t>
        </m:r>
        <m:sSub>
          <m:e>
            <m:r>
              <m:rPr>
                <m:sty m:val="p"/>
              </m:rPr>
              <m:t>∥</m:t>
            </m:r>
          </m:e>
          <m:sub>
            <m:r>
              <m:t>1</m:t>
            </m:r>
          </m:sub>
        </m:sSub>
        <m:r>
          <m:rPr>
            <m:sty m:val="p"/>
          </m:rPr>
          <m:t>≤</m:t>
        </m:r>
        <m:rad>
          <m:radPr>
            <m:degHide m:val="on"/>
          </m:radPr>
          <m:deg/>
          <m:e>
            <m:sSub>
              <m:e>
                <m:r>
                  <m:t>d</m:t>
                </m:r>
              </m:e>
              <m:sub>
                <m:r>
                  <m:t>F</m:t>
                </m:r>
              </m:sub>
            </m:sSub>
          </m:e>
        </m:rad>
        <m:r>
          <m:t> </m:t>
        </m:r>
        <m:r>
          <m:rPr>
            <m:sty m:val="p"/>
          </m:rPr>
          <m:t>∥</m:t>
        </m:r>
        <m:r>
          <m:t>A</m:t>
        </m:r>
        <m:sSub>
          <m:e>
            <m:r>
              <m:rPr>
                <m:sty m:val="p"/>
              </m:rPr>
              <m:t>∥</m:t>
            </m:r>
          </m:e>
          <m:sub>
            <m:r>
              <m:t>2</m:t>
            </m:r>
          </m:sub>
        </m:sSub>
      </m:oMath>
      <w:r>
        <w:t xml:space="preserve">, and by Jensen</w:t>
      </w:r>
      <w:r>
        <w:t xml:space="preserve"> </w:t>
      </w:r>
      <m:oMath>
        <m:r>
          <m:rPr>
            <m:sty m:val="p"/>
            <m:scr m:val="double-struck"/>
          </m:rPr>
          <m:t>E</m:t>
        </m:r>
        <m:r>
          <m:rPr>
            <m:sty m:val="p"/>
          </m:rPr>
          <m:t>∥</m:t>
        </m:r>
        <m:r>
          <m:t>A</m:t>
        </m:r>
        <m:sSub>
          <m:e>
            <m:r>
              <m:rPr>
                <m:sty m:val="p"/>
              </m:rPr>
              <m:t>∥</m:t>
            </m:r>
          </m:e>
          <m:sub>
            <m:r>
              <m:t>1</m:t>
            </m:r>
          </m:sub>
        </m:sSub>
        <m:r>
          <m:rPr>
            <m:sty m:val="p"/>
          </m:rPr>
          <m:t>≤</m:t>
        </m:r>
        <m:rad>
          <m:radPr>
            <m:degHide m:val="on"/>
          </m:radPr>
          <m:deg/>
          <m:e>
            <m:sSub>
              <m:e>
                <m:r>
                  <m:t>d</m:t>
                </m:r>
              </m:e>
              <m:sub>
                <m:r>
                  <m:t>F</m:t>
                </m:r>
              </m:sub>
            </m:sSub>
            <m:r>
              <m:t> </m:t>
            </m:r>
            <m:r>
              <m:rPr>
                <m:sty m:val="p"/>
                <m:scr m:val="double-struck"/>
              </m:rPr>
              <m:t>E</m:t>
            </m:r>
            <m:r>
              <m:rPr>
                <m:sty m:val="p"/>
              </m:rPr>
              <m:t>∥</m:t>
            </m:r>
            <m:r>
              <m:t>A</m:t>
            </m:r>
            <m:sSubSup>
              <m:e>
                <m:r>
                  <m:rPr>
                    <m:sty m:val="p"/>
                  </m:rPr>
                  <m:t>∥</m:t>
                </m:r>
              </m:e>
              <m:sub>
                <m:r>
                  <m:t>2</m:t>
                </m:r>
              </m:sub>
              <m:sup>
                <m:r>
                  <m:t>2</m:t>
                </m:r>
              </m:sup>
            </m:sSubSup>
          </m:e>
        </m:rad>
        <m:r>
          <m:rPr>
            <m:sty m:val="p"/>
          </m:rPr>
          <m:t>=</m:t>
        </m:r>
        <m:r>
          <m:t>b</m:t>
        </m:r>
      </m:oMath>
      <w:r>
        <w:t xml:space="preserve">; since</w:t>
      </w:r>
      <w:r>
        <w:t xml:space="preserve"> </w:t>
      </w:r>
      <m:oMath>
        <m:sSubSup>
          <m:e>
            <m:r>
              <m:t>d</m:t>
            </m:r>
          </m:e>
          <m:sub>
            <m:r>
              <m:t>F</m:t>
            </m:r>
          </m:sub>
          <m:sup>
            <m:r>
              <m:t>2</m:t>
            </m:r>
          </m:sup>
        </m:sSubSup>
        <m:r>
          <m:rPr>
            <m:sty m:val="p"/>
          </m:rPr>
          <m:t>−</m:t>
        </m:r>
        <m:r>
          <m:t>1</m:t>
        </m:r>
        <m:r>
          <m:rPr>
            <m:sty m:val="p"/>
          </m:rPr>
          <m:t>&lt;</m:t>
        </m:r>
        <m:sSubSup>
          <m:e>
            <m:r>
              <m:t>d</m:t>
            </m:r>
          </m:e>
          <m:sub>
            <m:r>
              <m:t>F</m:t>
            </m:r>
          </m:sub>
          <m:sup>
            <m:r>
              <m:t>2</m:t>
            </m:r>
          </m:sup>
        </m:sSubSup>
      </m:oMath>
      <w:r>
        <w:t xml:space="preserve"> </w:t>
      </w:r>
      <w:r>
        <w:t xml:space="preserve">and</w:t>
      </w:r>
      <w:r>
        <w:t xml:space="preserve"> </w:t>
      </w:r>
      <m:oMath>
        <m:sSub>
          <m:e>
            <m:r>
              <m:t>d</m:t>
            </m:r>
          </m:e>
          <m:sub>
            <m:r>
              <m:t>F</m:t>
            </m:r>
          </m:sub>
        </m:sSub>
        <m:sSub>
          <m:e>
            <m:r>
              <m:t>d</m:t>
            </m:r>
          </m:e>
          <m:sub>
            <m:r>
              <m:t>R</m:t>
            </m:r>
          </m:sub>
        </m:sSub>
        <m:r>
          <m:rPr>
            <m:sty m:val="p"/>
          </m:rPr>
          <m:t>+</m:t>
        </m:r>
        <m:r>
          <m:t>1</m:t>
        </m:r>
        <m:r>
          <m:rPr>
            <m:sty m:val="p"/>
          </m:rPr>
          <m:t>&gt;</m:t>
        </m:r>
        <m:sSub>
          <m:e>
            <m:r>
              <m:t>d</m:t>
            </m:r>
          </m:e>
          <m:sub>
            <m:r>
              <m:t>F</m:t>
            </m:r>
          </m:sub>
        </m:sSub>
        <m:sSub>
          <m:e>
            <m:r>
              <m:t>d</m:t>
            </m:r>
          </m:e>
          <m:sub>
            <m:r>
              <m:t>R</m:t>
            </m:r>
          </m:sub>
        </m:sSub>
      </m:oMath>
      <w:r>
        <w:t xml:space="preserve">,</w:t>
      </w:r>
      <w:r>
        <w:t xml:space="preserve"> </w:t>
      </w:r>
      <m:oMath>
        <m:r>
          <m:t>b</m:t>
        </m:r>
        <m:r>
          <m:rPr>
            <m:sty m:val="p"/>
          </m:rPr>
          <m:t>&lt;</m:t>
        </m:r>
        <m:rad>
          <m:radPr>
            <m:degHide m:val="on"/>
          </m:radPr>
          <m:deg/>
          <m:e>
            <m:sSub>
              <m:e>
                <m:r>
                  <m:t>d</m:t>
                </m:r>
              </m:e>
              <m:sub>
                <m:r>
                  <m:t>F</m:t>
                </m:r>
              </m:sub>
            </m:sSub>
            <m:r>
              <m:rPr>
                <m:sty m:val="p"/>
              </m:rPr>
              <m:t>/</m:t>
            </m:r>
            <m:sSub>
              <m:e>
                <m:r>
                  <m:t>d</m:t>
                </m:r>
              </m:e>
              <m:sub>
                <m:r>
                  <m:t>R</m:t>
                </m:r>
              </m:sub>
            </m:sSub>
          </m:e>
        </m:rad>
      </m:oMath>
      <w:r>
        <w:t xml:space="preserve">. This is (ii). For (iii), the triangle inequality gives</w:t>
      </w:r>
      <w:r>
        <w:t xml:space="preserve"> </w:t>
      </w:r>
      <m:oMath>
        <m:r>
          <m:rPr>
            <m:sty m:val="p"/>
          </m:rPr>
          <m:t>∥</m:t>
        </m:r>
        <m:sSubSup>
          <m:e>
            <m:r>
              <m:t>ρ</m:t>
            </m:r>
          </m:e>
          <m:sub>
            <m:r>
              <m:t>F</m:t>
            </m:r>
          </m:sub>
          <m:sup>
            <m:r>
              <m:t>0</m:t>
            </m:r>
          </m:sup>
        </m:sSubSup>
        <m:r>
          <m:rPr>
            <m:sty m:val="p"/>
          </m:rPr>
          <m:t>−</m:t>
        </m:r>
        <m:sSubSup>
          <m:e>
            <m:r>
              <m:t>ρ</m:t>
            </m:r>
          </m:e>
          <m:sub>
            <m:r>
              <m:t>F</m:t>
            </m:r>
          </m:sub>
          <m:sup>
            <m:r>
              <m:t>1</m:t>
            </m:r>
          </m:sup>
        </m:sSubSup>
        <m:sSub>
          <m:e>
            <m:r>
              <m:rPr>
                <m:sty m:val="p"/>
              </m:rPr>
              <m:t>∥</m:t>
            </m:r>
          </m:e>
          <m:sub>
            <m:r>
              <m:t>1</m:t>
            </m:r>
          </m:sub>
        </m:sSub>
        <m:r>
          <m:rPr>
            <m:sty m:val="p"/>
          </m:rPr>
          <m:t>≤</m:t>
        </m:r>
        <m:sSub>
          <m:e>
            <m:r>
              <m:t>a</m:t>
            </m:r>
          </m:e>
          <m:sub>
            <m:r>
              <m:t>0</m:t>
            </m:r>
          </m:sub>
        </m:sSub>
        <m:r>
          <m:rPr>
            <m:sty m:val="p"/>
          </m:rPr>
          <m:t>+</m:t>
        </m:r>
        <m:sSub>
          <m:e>
            <m:r>
              <m:t>a</m:t>
            </m:r>
          </m:e>
          <m:sub>
            <m:r>
              <m:t>1</m:t>
            </m:r>
          </m:sub>
        </m:sSub>
      </m:oMath>
      <w:r>
        <w:t xml:space="preserve"> </w:t>
      </w:r>
      <w:r>
        <w:t xml:space="preserve">with</w:t>
      </w:r>
      <w:r>
        <w:t xml:space="preserve"> </w:t>
      </w:r>
      <m:oMath>
        <m:sSub>
          <m:e>
            <m:r>
              <m:t>a</m:t>
            </m:r>
          </m:e>
          <m:sub>
            <m:r>
              <m:t>x</m:t>
            </m:r>
          </m:sub>
        </m:sSub>
        <m:r>
          <m:rPr>
            <m:sty m:val="p"/>
          </m:rPr>
          <m:t>=</m:t>
        </m:r>
        <m:r>
          <m:rPr>
            <m:sty m:val="p"/>
          </m:rPr>
          <m:t>∥</m:t>
        </m:r>
        <m:sSubSup>
          <m:e>
            <m:r>
              <m:t>ρ</m:t>
            </m:r>
          </m:e>
          <m:sub>
            <m:r>
              <m:t>F</m:t>
            </m:r>
          </m:sub>
          <m:sup>
            <m:r>
              <m:t>x</m:t>
            </m:r>
          </m:sup>
        </m:sSubSup>
        <m:r>
          <m:rPr>
            <m:sty m:val="p"/>
          </m:rPr>
          <m:t>−</m:t>
        </m:r>
        <m:r>
          <m:t>I</m:t>
        </m:r>
        <m:r>
          <m:rPr>
            <m:sty m:val="p"/>
          </m:rPr>
          <m:t>/</m:t>
        </m:r>
        <m:sSub>
          <m:e>
            <m:r>
              <m:t>d</m:t>
            </m:r>
          </m:e>
          <m:sub>
            <m:r>
              <m:t>F</m:t>
            </m:r>
          </m:sub>
        </m:sSub>
        <m:sSub>
          <m:e>
            <m:r>
              <m:rPr>
                <m:sty m:val="p"/>
              </m:rPr>
              <m:t>∥</m:t>
            </m:r>
          </m:e>
          <m:sub>
            <m:r>
              <m:t>1</m:t>
            </m:r>
          </m:sub>
        </m:sSub>
      </m:oMath>
      <w:r>
        <w:t xml:space="preserve">, so</w:t>
      </w:r>
      <w:r>
        <w:t xml:space="preserve"> </w:t>
      </w:r>
      <m:oMath>
        <m:f>
          <m:fPr>
            <m:type m:val="lin"/>
          </m:fPr>
          <m:num>
            <m:r>
              <m:t>1</m:t>
            </m:r>
          </m:num>
          <m:den>
            <m:r>
              <m:t>2</m:t>
            </m:r>
          </m:den>
        </m:f>
        <m:r>
          <m:rPr>
            <m:sty m:val="p"/>
          </m:rPr>
          <m:t>−</m:t>
        </m:r>
        <m:sSub>
          <m:e>
            <m:r>
              <m:t>p</m:t>
            </m:r>
          </m:e>
          <m:sub>
            <m:r>
              <m:rPr>
                <m:sty m:val="p"/>
              </m:rPr>
              <m:t>e</m:t>
            </m:r>
            <m:r>
              <m:rPr>
                <m:sty m:val="p"/>
              </m:rPr>
              <m:t>r</m:t>
            </m:r>
            <m:r>
              <m:rPr>
                <m:sty m:val="p"/>
              </m:rPr>
              <m:t>r</m:t>
            </m:r>
          </m:sub>
        </m:sSub>
        <m:r>
          <m:rPr>
            <m:sty m:val="p"/>
          </m:rPr>
          <m:t>=</m:t>
        </m:r>
        <m:f>
          <m:fPr>
            <m:type m:val="lin"/>
          </m:fPr>
          <m:num>
            <m:r>
              <m:t>1</m:t>
            </m:r>
          </m:num>
          <m:den>
            <m:r>
              <m:t>4</m:t>
            </m:r>
          </m:den>
        </m:f>
        <m:r>
          <m:rPr>
            <m:sty m:val="p"/>
          </m:rPr>
          <m:t>∥</m:t>
        </m:r>
        <m:sSubSup>
          <m:e>
            <m:r>
              <m:t>ρ</m:t>
            </m:r>
          </m:e>
          <m:sub>
            <m:r>
              <m:t>F</m:t>
            </m:r>
          </m:sub>
          <m:sup>
            <m:r>
              <m:t>0</m:t>
            </m:r>
          </m:sup>
        </m:sSubSup>
        <m:r>
          <m:rPr>
            <m:sty m:val="p"/>
          </m:rPr>
          <m:t>−</m:t>
        </m:r>
        <m:sSubSup>
          <m:e>
            <m:r>
              <m:t>ρ</m:t>
            </m:r>
          </m:e>
          <m:sub>
            <m:r>
              <m:t>F</m:t>
            </m:r>
          </m:sub>
          <m:sup>
            <m:r>
              <m:t>1</m:t>
            </m:r>
          </m:sup>
        </m:sSubSup>
        <m:sSub>
          <m:e>
            <m:r>
              <m:rPr>
                <m:sty m:val="p"/>
              </m:rPr>
              <m:t>∥</m:t>
            </m:r>
          </m:e>
          <m:sub>
            <m:r>
              <m:t>1</m:t>
            </m:r>
          </m:sub>
        </m:sSub>
        <m:r>
          <m:rPr>
            <m:sty m:val="p"/>
          </m:rPr>
          <m:t>≤</m:t>
        </m:r>
        <m:f>
          <m:fPr>
            <m:type m:val="lin"/>
          </m:fPr>
          <m:num>
            <m:r>
              <m:t>1</m:t>
            </m:r>
          </m:num>
          <m:den>
            <m:r>
              <m:t>4</m:t>
            </m:r>
          </m:den>
        </m:f>
        <m:r>
          <m:rPr>
            <m:sty m:val="p"/>
          </m:rPr>
          <m:t>(</m:t>
        </m:r>
        <m:sSub>
          <m:e>
            <m:r>
              <m:t>a</m:t>
            </m:r>
          </m:e>
          <m:sub>
            <m:r>
              <m:t>0</m:t>
            </m:r>
          </m:sub>
        </m:sSub>
        <m:r>
          <m:rPr>
            <m:sty m:val="p"/>
          </m:rPr>
          <m:t>+</m:t>
        </m:r>
        <m:sSub>
          <m:e>
            <m:r>
              <m:t>a</m:t>
            </m:r>
          </m:e>
          <m:sub>
            <m:r>
              <m:t>1</m:t>
            </m:r>
          </m:sub>
        </m:sSub>
        <m:r>
          <m:rPr>
            <m:sty m:val="p"/>
          </m:rPr>
          <m:t>)</m:t>
        </m:r>
      </m:oMath>
      <w:r>
        <w:t xml:space="preserve">. Only the marginal laws enter. For (iv),</w:t>
      </w:r>
      <w:r>
        <w:t xml:space="preserve"> </w:t>
      </w:r>
      <m:oMath>
        <m:f>
          <m:fPr>
            <m:type m:val="lin"/>
          </m:fPr>
          <m:num>
            <m:r>
              <m:t>1</m:t>
            </m:r>
          </m:num>
          <m:den>
            <m:r>
              <m:t>2</m:t>
            </m:r>
          </m:den>
        </m:f>
        <m:r>
          <m:rPr>
            <m:sty m:val="p"/>
          </m:rPr>
          <m:t>−</m:t>
        </m:r>
        <m:sSub>
          <m:e>
            <m:r>
              <m:t>p</m:t>
            </m:r>
          </m:e>
          <m:sub>
            <m:r>
              <m:rPr>
                <m:sty m:val="p"/>
              </m:rPr>
              <m:t>e</m:t>
            </m:r>
            <m:r>
              <m:rPr>
                <m:sty m:val="p"/>
              </m:rPr>
              <m:t>r</m:t>
            </m:r>
            <m:r>
              <m:rPr>
                <m:sty m:val="p"/>
              </m:rPr>
              <m:t>r</m:t>
            </m:r>
          </m:sub>
        </m:sSub>
        <m:r>
          <m:rPr>
            <m:sty m:val="p"/>
          </m:rPr>
          <m:t>≥</m:t>
        </m:r>
        <m:r>
          <m:t>0</m:t>
        </m:r>
      </m:oMath>
      <w:r>
        <w:t xml:space="preserve">, so Markov’s inequality gives</w:t>
      </w:r>
      <w:r>
        <w:t xml:space="preserve"> </w:t>
      </w:r>
      <m:oMath>
        <m:r>
          <m:rPr>
            <m:sty m:val="p"/>
            <m:nor m:val="1"/>
          </m:rPr>
          <w:rPr>
            <w:i w:val="0"/>
          </w:rPr>
          <m:t>Pr</m:t>
        </m:r>
        <m:r>
          <m:rPr>
            <m:sty m:val="p"/>
          </m:rPr>
          <m:t>(</m:t>
        </m:r>
        <m:f>
          <m:fPr>
            <m:type m:val="lin"/>
          </m:fPr>
          <m:num>
            <m:r>
              <m:t>1</m:t>
            </m:r>
          </m:num>
          <m:den>
            <m:r>
              <m:t>2</m:t>
            </m:r>
          </m:den>
        </m:f>
        <m:r>
          <m:rPr>
            <m:sty m:val="p"/>
          </m:rPr>
          <m:t>−</m:t>
        </m:r>
        <m:sSub>
          <m:e>
            <m:r>
              <m:t>p</m:t>
            </m:r>
          </m:e>
          <m:sub>
            <m:r>
              <m:rPr>
                <m:sty m:val="p"/>
              </m:rPr>
              <m:t>e</m:t>
            </m:r>
            <m:r>
              <m:rPr>
                <m:sty m:val="p"/>
              </m:rPr>
              <m:t>r</m:t>
            </m:r>
            <m:r>
              <m:rPr>
                <m:sty m:val="p"/>
              </m:rPr>
              <m:t>r</m:t>
            </m:r>
          </m:sub>
        </m:sSub>
        <m:r>
          <m:rPr>
            <m:sty m:val="p"/>
          </m:rPr>
          <m:t>≥</m:t>
        </m:r>
        <m:f>
          <m:fPr>
            <m:type m:val="lin"/>
          </m:fPr>
          <m:num>
            <m:r>
              <m:t>1</m:t>
            </m:r>
          </m:num>
          <m:den>
            <m:r>
              <m:t>2</m:t>
            </m:r>
          </m:den>
        </m:f>
        <m:r>
          <m:rPr>
            <m:sty m:val="p"/>
          </m:rPr>
          <m:t>−</m:t>
        </m:r>
        <m:r>
          <m:t>ε</m:t>
        </m:r>
        <m:r>
          <m:rPr>
            <m:sty m:val="p"/>
          </m:rPr>
          <m:t>)</m:t>
        </m:r>
        <m:r>
          <m:rPr>
            <m:sty m:val="p"/>
          </m:rPr>
          <m:t>≤</m:t>
        </m:r>
        <m:f>
          <m:fPr>
            <m:type m:val="lin"/>
          </m:fPr>
          <m:num>
            <m:r>
              <m:t>1</m:t>
            </m:r>
          </m:num>
          <m:den>
            <m:r>
              <m:t>2</m:t>
            </m:r>
          </m:den>
        </m:f>
        <m:r>
          <m:t>b</m:t>
        </m:r>
        <m:r>
          <m:rPr>
            <m:sty m:val="p"/>
          </m:rPr>
          <m:t>/</m:t>
        </m:r>
        <m:r>
          <m:rPr>
            <m:sty m:val="p"/>
          </m:rPr>
          <m:t>(</m:t>
        </m:r>
        <m:f>
          <m:fPr>
            <m:type m:val="lin"/>
          </m:fPr>
          <m:num>
            <m:r>
              <m:t>1</m:t>
            </m:r>
          </m:num>
          <m:den>
            <m:r>
              <m:t>2</m:t>
            </m:r>
          </m:den>
        </m:f>
        <m:r>
          <m:rPr>
            <m:sty m:val="p"/>
          </m:rPr>
          <m:t>−</m:t>
        </m:r>
        <m:r>
          <m:t>ε</m:t>
        </m:r>
        <m:r>
          <m:rPr>
            <m:sty m:val="p"/>
          </m:rPr>
          <m:t>)</m:t>
        </m:r>
      </m:oMath>
      <w:r>
        <w:t xml:space="preserve">. Part (v) is the union bound.</w:t>
      </w:r>
      <w:r>
        <w:t xml:space="preserve"> </w:t>
      </w:r>
      <m:oMath>
        <m:r>
          <m:rPr>
            <m:sty m:val="p"/>
          </m:rPr>
          <m:t>▫</m:t>
        </m:r>
      </m:oMath>
    </w:p>
    <w:p>
      <w:pPr>
        <w:pStyle w:val="BodyText"/>
      </w:pPr>
      <w:r>
        <w:t xml:space="preserve">For single-qubit fragments (</w:t>
      </w:r>
      <m:oMath>
        <m:sSub>
          <m:e>
            <m:r>
              <m:t>d</m:t>
            </m:r>
          </m:e>
          <m:sub>
            <m:r>
              <m:t>F</m:t>
            </m:r>
          </m:sub>
        </m:sSub>
        <m:r>
          <m:rPr>
            <m:sty m:val="p"/>
          </m:rPr>
          <m:t>=</m:t>
        </m:r>
        <m:r>
          <m:t>2</m:t>
        </m:r>
      </m:oMath>
      <w:r>
        <w:t xml:space="preserve">,</w:t>
      </w:r>
      <w:r>
        <w:t xml:space="preserve"> </w:t>
      </w:r>
      <m:oMath>
        <m:sSub>
          <m:e>
            <m:r>
              <m:t>d</m:t>
            </m:r>
          </m:e>
          <m:sub>
            <m:r>
              <m:t>R</m:t>
            </m:r>
          </m:sub>
        </m:sSub>
        <m:r>
          <m:rPr>
            <m:sty m:val="p"/>
          </m:rPr>
          <m:t>=</m:t>
        </m:r>
        <m:sSup>
          <m:e>
            <m:r>
              <m:t>2</m:t>
            </m:r>
          </m:e>
          <m:sup>
            <m:r>
              <m:t>n</m:t>
            </m:r>
            <m:r>
              <m:rPr>
                <m:sty m:val="p"/>
              </m:rPr>
              <m:t>−</m:t>
            </m:r>
            <m:r>
              <m:t>1</m:t>
            </m:r>
          </m:sup>
        </m:sSup>
      </m:oMath>
      <w:r>
        <w:t xml:space="preserve">),</w:t>
      </w:r>
      <w:r>
        <w:t xml:space="preserve"> </w:t>
      </w:r>
      <m:oMath>
        <m:r>
          <m:t>b</m:t>
        </m:r>
        <m:r>
          <m:rPr>
            <m:sty m:val="p"/>
          </m:rPr>
          <m:t>=</m:t>
        </m:r>
        <m:rad>
          <m:radPr>
            <m:degHide m:val="on"/>
          </m:radPr>
          <m:deg/>
          <m:e>
            <m:r>
              <m:t>3</m:t>
            </m:r>
            <m:r>
              <m:rPr>
                <m:sty m:val="p"/>
              </m:rPr>
              <m:t>/</m:t>
            </m:r>
            <m:r>
              <m:rPr>
                <m:sty m:val="p"/>
              </m:rPr>
              <m:t>(</m:t>
            </m:r>
            <m:sSup>
              <m:e>
                <m:r>
                  <m:t>2</m:t>
                </m:r>
              </m:e>
              <m:sup>
                <m:r>
                  <m:t>n</m:t>
                </m:r>
              </m:sup>
            </m:sSup>
            <m:r>
              <m:rPr>
                <m:sty m:val="p"/>
              </m:rPr>
              <m:t>+</m:t>
            </m:r>
            <m:r>
              <m:t>1</m:t>
            </m:r>
            <m:r>
              <m:rPr>
                <m:sty m:val="p"/>
              </m:rPr>
              <m:t>)</m:t>
            </m:r>
          </m:e>
        </m:rad>
      </m:oMath>
      <w:r>
        <w:t xml:space="preserve"> </w:t>
      </w:r>
      <w:r>
        <w:t xml:space="preserve">decays as</w:t>
      </w:r>
      <w:r>
        <w:t xml:space="preserve"> </w:t>
      </w:r>
      <m:oMath>
        <m:sSup>
          <m:e>
            <m:r>
              <m:t>2</m:t>
            </m:r>
          </m:e>
          <m:sup>
            <m:r>
              <m:rPr>
                <m:sty m:val="p"/>
              </m:rPr>
              <m:t>−</m:t>
            </m:r>
            <m:r>
              <m:t>n</m:t>
            </m:r>
            <m:r>
              <m:rPr>
                <m:sty m:val="p"/>
              </m:rPr>
              <m:t>/</m:t>
            </m:r>
            <m:r>
              <m:t>2</m:t>
            </m:r>
          </m:sup>
        </m:sSup>
      </m:oMath>
      <w:r>
        <w:t xml:space="preserve">. Sharper, exponential tail bounds follow from concentration of measure [Popescu, Short and Winter 2006; Hayden, Leung and Winter 2006]; Markov’s inequality is used here for transparency. Two limits of the statement matter. It concerns candidates fixed before the state is seen, so a data-dependent search over a continuum of frames is not covered by (v). It is proved for pure conditional states only.</w:t>
      </w:r>
    </w:p>
    <w:p>
      <w:pPr>
        <w:pStyle w:val="BodyText"/>
      </w:pPr>
      <w:r>
        <w:rPr>
          <w:b/>
          <w:bCs/>
        </w:rPr>
        <w:t xml:space="preserve">Corollary 1 (scoped contrapositive).</w:t>
      </w:r>
      <w:r>
        <w:t xml:space="preserve"> </w:t>
      </w:r>
      <w:r>
        <w:t xml:space="preserve">If a qualification probability exceeds the applicable bound, at least one premise of the conditional typicality statement fails. Only after independence, source priors, access and dynamics have been independently checked may that failure be attributed specifically to the preparation law. Full-space Haar invariance is an explicit statistical assumption, not a definition of physical formlessness. Energy-shell typicality and dissipative reset models have different assumptions.</w:t>
      </w:r>
    </w:p>
    <w:p>
      <w:pPr>
        <w:pStyle w:val="BodyText"/>
      </w:pPr>
      <w:r>
        <w:t xml:space="preserve">For a fixed fragment and fixed error threshold, the bound becomes small as the complement dimension grows. A finite or suitably slow-growing fixed candidate family can inherit that suppression. It does not cover unrestricted adaptive search, and its union bound can be vacuous when the candidate budget grows too quickly. A single-time state-adaptive counterexample is immediate: let</w:t>
      </w:r>
      <w:r>
        <w:t xml:space="preserve"> </w:t>
      </w:r>
      <m:oMath>
        <m:r>
          <m:t>U</m:t>
        </m:r>
      </m:oMath>
      <w:r>
        <w:t xml:space="preserve"> </w:t>
      </w:r>
      <w:r>
        <w:t xml:space="preserve">be Haar, take the conditional vectors</w:t>
      </w:r>
      <w:r>
        <w:t xml:space="preserve"> </w:t>
      </w:r>
      <m:oMath>
        <m:r>
          <m:t>U</m:t>
        </m:r>
        <m:r>
          <m:rPr>
            <m:sty m:val="p"/>
          </m:rPr>
          <m:t>∣</m:t>
        </m:r>
        <m:r>
          <m:t>000</m:t>
        </m:r>
        <m:r>
          <m:rPr>
            <m:sty m:val="p"/>
          </m:rPr>
          <m:t>⟩</m:t>
        </m:r>
      </m:oMath>
      <w:r>
        <w:t xml:space="preserve"> </w:t>
      </w:r>
      <w:r>
        <w:t xml:space="preserve">and</w:t>
      </w:r>
      <w:r>
        <w:t xml:space="preserve"> </w:t>
      </w:r>
      <m:oMath>
        <m:r>
          <m:t>U</m:t>
        </m:r>
        <m:r>
          <m:rPr>
            <m:sty m:val="p"/>
          </m:rPr>
          <m:t>∣</m:t>
        </m:r>
        <m:r>
          <m:t>111</m:t>
        </m:r>
        <m:r>
          <m:rPr>
            <m:sty m:val="p"/>
          </m:rPr>
          <m:t>⟩</m:t>
        </m:r>
      </m:oMath>
      <w:r>
        <w:t xml:space="preserve">, and choose the candidate</w:t>
      </w:r>
      <w:r>
        <w:t xml:space="preserve"> </w:t>
      </w:r>
      <m:oMath>
        <m:r>
          <m:t>V</m:t>
        </m:r>
        <m:r>
          <m:rPr>
            <m:sty m:val="p"/>
          </m:rPr>
          <m:t>=</m:t>
        </m:r>
        <m:r>
          <m:t>U</m:t>
        </m:r>
      </m:oMath>
      <w:r>
        <w:t xml:space="preserve"> </w:t>
      </w:r>
      <w:r>
        <w:t xml:space="preserve">after seeing them. Both marginal vectors are Haar, yet all three candidate fragments are perfect records. The missing premise is candidate independence, not an error in the typicality calculation.</w:t>
      </w:r>
    </w:p>
    <w:p>
      <w:pPr>
        <w:pStyle w:val="BodyText"/>
      </w:pPr>
      <w:r>
        <w:t xml:space="preserve">A generic model need not have a unique preparation or coupling frame. The three-frame language is a useful experimental parameterisation when such frames are actually supplied. Frame misalignment can also be relational: a joint ensemble can be globally covariant while a coupling and its preparation are aligned conditionally within every draw. Marginal invariance alone must not be confused with conditional independence.</w:t>
      </w:r>
    </w:p>
    <w:p>
      <w:pPr>
        <w:pStyle w:val="BodyText"/>
      </w:pPr>
      <w:r>
        <w:rPr>
          <w:b/>
          <w:bCs/>
        </w:rPr>
        <w:t xml:space="preserve">Numerical check (Supplement run S03).</w:t>
      </w:r>
      <w:r>
        <w:t xml:space="preserve"> </w:t>
      </w:r>
      <w:r>
        <w:t xml:space="preserve">For Haar states, the Monte Carlo purity matches (i) to within sampling error at every size tested (</w:t>
      </w:r>
      <m:oMath>
        <m:r>
          <m:t>n</m:t>
        </m:r>
        <m:r>
          <m:rPr>
            <m:sty m:val="p"/>
          </m:rPr>
          <m:t>=</m:t>
        </m:r>
        <m:r>
          <m:t>3</m:t>
        </m:r>
      </m:oMath>
      <w:r>
        <w:t xml:space="preserve"> </w:t>
      </w:r>
      <w:r>
        <w:t xml:space="preserve">to</w:t>
      </w:r>
      <w:r>
        <w:t xml:space="preserve"> </w:t>
      </w:r>
      <m:oMath>
        <m:r>
          <m:t>10</m:t>
        </m:r>
      </m:oMath>
      <w:r>
        <w:t xml:space="preserve">, fragments of one and two qubits, 4,000 samples each). The mean trace-norm deviation lies below the bound in (ii): for one-qubit fragments it is</w:t>
      </w:r>
      <w:r>
        <w:t xml:space="preserve"> </w:t>
      </w:r>
      <m:oMath>
        <m:r>
          <m:t>0.552</m:t>
        </m:r>
      </m:oMath>
      <w:r>
        <w:t xml:space="preserve">,</w:t>
      </w:r>
      <w:r>
        <w:t xml:space="preserve"> </w:t>
      </w:r>
      <m:oMath>
        <m:r>
          <m:t>0.282</m:t>
        </m:r>
      </m:oMath>
      <w:r>
        <w:t xml:space="preserve">,</w:t>
      </w:r>
      <w:r>
        <w:t xml:space="preserve"> </w:t>
      </w:r>
      <m:oMath>
        <m:r>
          <m:t>0.141</m:t>
        </m:r>
      </m:oMath>
      <w:r>
        <w:t xml:space="preserve"> </w:t>
      </w:r>
      <w:r>
        <w:t xml:space="preserve">and</w:t>
      </w:r>
      <w:r>
        <w:t xml:space="preserve"> </w:t>
      </w:r>
      <m:oMath>
        <m:r>
          <m:t>0.0497</m:t>
        </m:r>
      </m:oMath>
      <w:r>
        <w:t xml:space="preserve"> </w:t>
      </w:r>
      <w:r>
        <w:t xml:space="preserve">at</w:t>
      </w:r>
      <w:r>
        <w:t xml:space="preserve"> </w:t>
      </w:r>
      <m:oMath>
        <m:r>
          <m:t>n</m:t>
        </m:r>
        <m:r>
          <m:rPr>
            <m:sty m:val="p"/>
          </m:rPr>
          <m:t>=</m:t>
        </m:r>
        <m:r>
          <m:t>3</m:t>
        </m:r>
        <m:r>
          <m:rPr>
            <m:sty m:val="p"/>
          </m:rPr>
          <m:t>,</m:t>
        </m:r>
        <m:r>
          <m:t>5</m:t>
        </m:r>
        <m:r>
          <m:rPr>
            <m:sty m:val="p"/>
          </m:rPr>
          <m:t>,</m:t>
        </m:r>
        <m:r>
          <m:t>7</m:t>
        </m:r>
        <m:r>
          <m:rPr>
            <m:sty m:val="p"/>
          </m:rPr>
          <m:t>,</m:t>
        </m:r>
        <m:r>
          <m:t>10</m:t>
        </m:r>
      </m:oMath>
      <w:r>
        <w:t xml:space="preserve">, against</w:t>
      </w:r>
      <w:r>
        <w:t xml:space="preserve"> </w:t>
      </w:r>
      <m:oMath>
        <m:r>
          <m:t>b</m:t>
        </m:r>
        <m:r>
          <m:rPr>
            <m:sty m:val="p"/>
          </m:rPr>
          <m:t>=</m:t>
        </m:r>
        <m:r>
          <m:t>0.577</m:t>
        </m:r>
      </m:oMath>
      <w:r>
        <w:t xml:space="preserve">,</w:t>
      </w:r>
      <w:r>
        <w:t xml:space="preserve"> </w:t>
      </w:r>
      <m:oMath>
        <m:r>
          <m:t>0.302</m:t>
        </m:r>
      </m:oMath>
      <w:r>
        <w:t xml:space="preserve">,</w:t>
      </w:r>
      <w:r>
        <w:t xml:space="preserve"> </w:t>
      </w:r>
      <m:oMath>
        <m:r>
          <m:t>0.152</m:t>
        </m:r>
      </m:oMath>
      <w:r>
        <w:t xml:space="preserve"> </w:t>
      </w:r>
      <w:r>
        <w:t xml:space="preserve">and</w:t>
      </w:r>
      <w:r>
        <w:t xml:space="preserve"> </w:t>
      </w:r>
      <m:oMath>
        <m:r>
          <m:t>0.0541</m:t>
        </m:r>
      </m:oMath>
      <w:r>
        <w:t xml:space="preserve">. Table 1 applies the same local record-making dynamics to a ready product state and to a Haar initial state.</w:t>
      </w:r>
    </w:p>
    <w:p>
      <w:pPr>
        <w:pStyle w:val="BodyText"/>
        <w:keepNext/>
      </w:pPr>
      <w:r>
        <w:rPr>
          <w:b/>
          <w:bCs/>
        </w:rPr>
        <w:t xml:space="preserve">Table 1. Ready versus frame-free preparation under identical local dynamics.</w:t>
      </w:r>
      <w:r>
        <w:t xml:space="preserve"> </w:t>
      </w:r>
      <w:r>
        <w:t xml:space="preserve">Dynamics</w:t>
      </w:r>
      <w:r>
        <w:t xml:space="preserve"> </w:t>
      </w:r>
      <m:oMath>
        <m:sSub>
          <m:e>
            <m:r>
              <m:t>H</m:t>
            </m:r>
          </m:e>
          <m:sub>
            <m:r>
              <m:t>x</m:t>
            </m:r>
          </m:sub>
        </m:sSub>
        <m:r>
          <m:rPr>
            <m:sty m:val="p"/>
          </m:rPr>
          <m:t>=</m:t>
        </m:r>
        <m:sSub>
          <m:e>
            <m:r>
              <m:t>H</m:t>
            </m:r>
          </m:e>
          <m:sub>
            <m:r>
              <m:t>S</m:t>
            </m:r>
          </m:sub>
        </m:sSub>
        <m:r>
          <m:rPr>
            <m:sty m:val="p"/>
          </m:rPr>
          <m:t>±</m:t>
        </m:r>
        <m:nary>
          <m:naryPr>
            <m:chr m:val="∑"/>
            <m:limLoc m:val="undOvr"/>
            <m:subHide m:val="off"/>
            <m:supHide m:val="on"/>
          </m:naryPr>
          <m:sub>
            <m:r>
              <m:t>j</m:t>
            </m:r>
          </m:sub>
          <m:sup>
            <m:r>
              <m:t>​</m:t>
            </m:r>
          </m:sup>
          <m:e>
            <m:sSub>
              <m:e>
                <m:r>
                  <m:t>X</m:t>
                </m:r>
              </m:e>
              <m:sub>
                <m:r>
                  <m:t>j</m:t>
                </m:r>
              </m:sub>
            </m:sSub>
          </m:e>
        </m:nary>
      </m:oMath>
      <w:r>
        <w:t xml:space="preserve">, where</w:t>
      </w:r>
      <w:r>
        <w:t xml:space="preserve"> </w:t>
      </w:r>
      <m:oMath>
        <m:sSub>
          <m:e>
            <m:r>
              <m:t>H</m:t>
            </m:r>
          </m:e>
          <m:sub>
            <m:r>
              <m:t>S</m:t>
            </m:r>
          </m:sub>
        </m:sSub>
      </m:oMath>
      <w:r>
        <w:t xml:space="preserve"> </w:t>
      </w:r>
      <w:r>
        <w:t xml:space="preserve">is a random nearest-neighbour 2-local chain of Frobenius norm</w:t>
      </w:r>
      <w:r>
        <w:t xml:space="preserve"> </w:t>
      </w:r>
      <m:oMath>
        <m:r>
          <m:t>0.3</m:t>
        </m:r>
      </m:oMath>
      <w:r>
        <w:t xml:space="preserve">, at</w:t>
      </w:r>
      <w:r>
        <w:t xml:space="preserve"> </w:t>
      </w:r>
      <m:oMath>
        <m:r>
          <m:t>t</m:t>
        </m:r>
        <m:r>
          <m:rPr>
            <m:sty m:val="p"/>
          </m:rPr>
          <m:t>=</m:t>
        </m:r>
        <m:r>
          <m:t>π</m:t>
        </m:r>
        <m:r>
          <m:rPr>
            <m:sty m:val="p"/>
          </m:rPr>
          <m:t>/</m:t>
        </m:r>
        <m:r>
          <m:t>4</m:t>
        </m:r>
      </m:oMath>
      <w:r>
        <w:t xml:space="preserve"> </w:t>
      </w:r>
      <w:r>
        <w:t xml:space="preserve">with</w:t>
      </w:r>
      <w:r>
        <w:t xml:space="preserve"> </w:t>
      </w:r>
      <m:oMath>
        <m:r>
          <m:t>ε</m:t>
        </m:r>
        <m:r>
          <m:rPr>
            <m:sty m:val="p"/>
          </m:rPr>
          <m:t>=</m:t>
        </m:r>
        <m:r>
          <m:t>0.1</m:t>
        </m:r>
      </m:oMath>
      <w:r>
        <w:t xml:space="preserve">. Fragments are single qubits in the reference frame.</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885"/>
        <w:gridCol w:w="1376"/>
        <w:gridCol w:w="2163"/>
        <w:gridCol w:w="2163"/>
        <w:gridCol w:w="1770"/>
        <w:gridCol w:w="1475"/>
      </w:tblGrid>
      <w:tr>
        <w:trPr>
          <w:tblHeader w:val="on"/>
          <w:tblHeader/>
          <w:cantSplit/>
        </w:trPr>
        <w:tc>
          <w:tcPr>
            <w:shd w:fill="EAF0F4"/>
            <w:tcW w:type="dxa" w:w="885"/>
            <w:vAlign w:val="top"/>
          </w:tcPr>
          <w:p>
            <w:pPr>
              <w:pStyle w:val="Compact"/>
              <w:spacing w:after="60" w:line="240" w:lineRule="auto"/>
              <w:jc w:val="left"/>
            </w:pPr>
            <m:oMath>
              <m:r>
                <m:t>n</m:t>
              </m:r>
            </m:oMath>
          </w:p>
        </w:tc>
        <w:tc>
          <w:tcPr>
            <w:shd w:fill="EAF0F4"/>
            <w:tcW w:type="dxa" w:w="1376"/>
            <w:vAlign w:val="top"/>
          </w:tcPr>
          <w:p>
            <w:pPr>
              <w:pStyle w:val="Compact"/>
              <w:spacing w:after="60" w:line="240" w:lineRule="auto"/>
              <w:jc w:val="left"/>
            </w:pPr>
            <w:r>
              <w:rPr>
                <w:rFonts w:ascii="Carlito" w:hAnsi="Carlito"/>
                <w:b/>
                <w:sz w:val="17"/>
              </w:rPr>
              <w:t xml:space="preserve">Models</w:t>
            </w:r>
          </w:p>
        </w:tc>
        <w:tc>
          <w:tcPr>
            <w:shd w:fill="EAF0F4"/>
            <w:tcW w:type="dxa" w:w="2163"/>
            <w:vAlign w:val="top"/>
          </w:tcPr>
          <w:p>
            <w:pPr>
              <w:pStyle w:val="Compact"/>
              <w:spacing w:after="60" w:line="240" w:lineRule="auto"/>
              <w:jc w:val="left"/>
            </w:pPr>
            <w:r>
              <w:rPr>
                <w:rFonts w:ascii="Carlito" w:hAnsi="Carlito"/>
                <w:b/>
                <w:sz w:val="17"/>
              </w:rPr>
              <w:t xml:space="preserve">Ready: mean fragment fraction qualifying</w:t>
            </w:r>
          </w:p>
        </w:tc>
        <w:tc>
          <w:tcPr>
            <w:shd w:fill="EAF0F4"/>
            <w:tcW w:type="dxa" w:w="2163"/>
            <w:vAlign w:val="top"/>
          </w:tcPr>
          <w:p>
            <w:pPr>
              <w:pStyle w:val="Compact"/>
              <w:spacing w:after="60" w:line="240" w:lineRule="auto"/>
              <w:jc w:val="left"/>
            </w:pPr>
            <w:r>
              <w:rPr>
                <w:rFonts w:ascii="Carlito" w:hAnsi="Carlito"/>
                <w:b/>
                <w:sz w:val="17"/>
              </w:rPr>
              <w:t xml:space="preserve">Haar: mean fraction of fragments qualifying</w:t>
            </w:r>
          </w:p>
        </w:tc>
        <w:tc>
          <w:tcPr>
            <w:shd w:fill="EAF0F4"/>
            <w:tcW w:type="dxa" w:w="1770"/>
            <w:vAlign w:val="top"/>
          </w:tcPr>
          <w:p>
            <w:pPr>
              <w:pStyle w:val="Compact"/>
              <w:spacing w:after="60" w:line="240" w:lineRule="auto"/>
              <w:jc w:val="left"/>
            </w:pPr>
            <w:r>
              <w:rPr>
                <w:rFonts w:ascii="Carlito" w:hAnsi="Carlito"/>
                <w:b/>
                <w:sz w:val="17"/>
              </w:rPr>
              <w:t xml:space="preserve">Frame-free</w:t>
            </w:r>
            <w:r>
              <w:rPr>
                <w:rFonts w:ascii="Carlito" w:hAnsi="Carlito"/>
                <w:b/>
                <w:sz w:val="17"/>
              </w:rPr>
              <w:t xml:space="preserve"> </w:t>
            </w:r>
            <m:oMath>
              <m:r>
                <m:rPr>
                  <m:sty m:val="p"/>
                  <m:scr m:val="double-struck"/>
                </m:rPr>
                <m:t>E</m:t>
              </m:r>
              <m:r>
                <m:rPr>
                  <m:sty m:val="p"/>
                </m:rPr>
                <m:t>[</m:t>
              </m:r>
              <m:f>
                <m:fPr>
                  <m:type m:val="bar"/>
                </m:fPr>
                <m:num>
                  <m:r>
                    <m:t>1</m:t>
                  </m:r>
                </m:num>
                <m:den>
                  <m:r>
                    <m:t>2</m:t>
                  </m:r>
                </m:den>
              </m:f>
              <m:r>
                <m:rPr>
                  <m:sty m:val="p"/>
                </m:rPr>
                <m:t>−</m:t>
              </m:r>
              <m:sSub>
                <m:e>
                  <m:r>
                    <m:t>p</m:t>
                  </m:r>
                </m:e>
                <m:sub>
                  <m:r>
                    <m:rPr>
                      <m:sty m:val="p"/>
                    </m:rPr>
                    <m:t>e</m:t>
                  </m:r>
                  <m:r>
                    <m:rPr>
                      <m:sty m:val="p"/>
                    </m:rPr>
                    <m:t>r</m:t>
                  </m:r>
                  <m:r>
                    <m:rPr>
                      <m:sty m:val="p"/>
                    </m:rPr>
                    <m:t>r</m:t>
                  </m:r>
                </m:sub>
              </m:sSub>
              <m:r>
                <m:rPr>
                  <m:sty m:val="p"/>
                </m:rPr>
                <m:t>]</m:t>
              </m:r>
            </m:oMath>
          </w:p>
        </w:tc>
        <w:tc>
          <w:tcPr>
            <w:shd w:fill="EAF0F4"/>
            <w:tcW w:type="dxa" w:w="1475"/>
            <w:vAlign w:val="top"/>
          </w:tcPr>
          <w:p>
            <w:pPr>
              <w:pStyle w:val="Compact"/>
              <w:spacing w:after="60" w:line="240" w:lineRule="auto"/>
              <w:jc w:val="left"/>
            </w:pPr>
            <w:r>
              <w:rPr>
                <w:rFonts w:ascii="Carlito" w:hAnsi="Carlito"/>
                <w:b/>
                <w:sz w:val="17"/>
              </w:rPr>
              <w:t xml:space="preserve">Bound</w:t>
            </w:r>
            <w:r>
              <w:rPr>
                <w:rFonts w:ascii="Carlito" w:hAnsi="Carlito"/>
                <w:b/>
                <w:sz w:val="17"/>
              </w:rPr>
              <w:t xml:space="preserve"> </w:t>
            </w:r>
            <m:oMath>
              <m:f>
                <m:fPr>
                  <m:type m:val="bar"/>
                </m:fPr>
                <m:num>
                  <m:r>
                    <m:t>1</m:t>
                  </m:r>
                </m:num>
                <m:den>
                  <m:r>
                    <m:t>2</m:t>
                  </m:r>
                </m:den>
              </m:f>
              <m:rad>
                <m:radPr>
                  <m:degHide m:val="on"/>
                </m:radPr>
                <m:deg/>
                <m:e>
                  <m:sSub>
                    <m:e>
                      <m:r>
                        <m:t>d</m:t>
                      </m:r>
                    </m:e>
                    <m:sub>
                      <m:r>
                        <m:t>F</m:t>
                      </m:r>
                    </m:sub>
                  </m:sSub>
                  <m:r>
                    <m:rPr>
                      <m:sty m:val="p"/>
                    </m:rPr>
                    <m:t>/</m:t>
                  </m:r>
                  <m:sSub>
                    <m:e>
                      <m:r>
                        <m:t>d</m:t>
                      </m:r>
                    </m:e>
                    <m:sub>
                      <m:r>
                        <m:t>R</m:t>
                      </m:r>
                    </m:sub>
                  </m:sSub>
                </m:e>
              </m:rad>
            </m:oMath>
          </w:p>
        </w:tc>
      </w:tr>
      <w:tr>
        <w:trPr>
          <w:cantSplit/>
        </w:trPr>
        <w:tc>
          <w:tcPr>
            <w:tcW w:type="dxa" w:w="885"/>
            <w:vAlign w:val="top"/>
          </w:tcPr>
          <w:p>
            <w:pPr>
              <w:pStyle w:val="Compact"/>
              <w:spacing w:after="60" w:line="240" w:lineRule="auto"/>
              <w:jc w:val="left"/>
            </w:pPr>
            <w:r>
              <w:rPr>
                <w:rFonts w:ascii="Carlito" w:hAnsi="Carlito"/>
                <w:sz w:val="17"/>
              </w:rPr>
              <w:t xml:space="preserve">3</w:t>
            </w:r>
          </w:p>
        </w:tc>
        <w:tc>
          <w:tcPr>
            <w:tcW w:type="dxa" w:w="1376"/>
            <w:vAlign w:val="top"/>
          </w:tcPr>
          <w:p>
            <w:pPr>
              <w:pStyle w:val="Compact"/>
              <w:spacing w:after="60" w:line="240" w:lineRule="auto"/>
              <w:jc w:val="left"/>
            </w:pPr>
            <w:r>
              <w:rPr>
                <w:rFonts w:ascii="Carlito" w:hAnsi="Carlito"/>
                <w:sz w:val="17"/>
              </w:rPr>
              <w:t xml:space="preserve">400</w:t>
            </w:r>
          </w:p>
        </w:tc>
        <w:tc>
          <w:tcPr>
            <w:tcW w:type="dxa" w:w="2163"/>
            <w:vAlign w:val="top"/>
          </w:tcPr>
          <w:p>
            <w:pPr>
              <w:pStyle w:val="Compact"/>
              <w:spacing w:after="60" w:line="240" w:lineRule="auto"/>
              <w:jc w:val="left"/>
            </w:pPr>
            <w:r>
              <w:rPr>
                <w:rFonts w:ascii="Carlito" w:hAnsi="Carlito"/>
                <w:sz w:val="17"/>
              </w:rPr>
              <w:t xml:space="preserve">1.000</w:t>
            </w:r>
          </w:p>
        </w:tc>
        <w:tc>
          <w:tcPr>
            <w:tcW w:type="dxa" w:w="2163"/>
            <w:vAlign w:val="top"/>
          </w:tcPr>
          <w:p>
            <w:pPr>
              <w:pStyle w:val="Compact"/>
              <w:spacing w:after="60" w:line="240" w:lineRule="auto"/>
              <w:jc w:val="left"/>
            </w:pPr>
            <w:r>
              <w:rPr>
                <w:rFonts w:ascii="Carlito" w:hAnsi="Carlito"/>
                <w:sz w:val="17"/>
              </w:rPr>
              <w:t xml:space="preserve">0.033</w:t>
            </w:r>
          </w:p>
        </w:tc>
        <w:tc>
          <w:tcPr>
            <w:tcW w:type="dxa" w:w="1770"/>
            <w:vAlign w:val="top"/>
          </w:tcPr>
          <w:p>
            <w:pPr>
              <w:pStyle w:val="Compact"/>
              <w:spacing w:after="60" w:line="240" w:lineRule="auto"/>
              <w:jc w:val="left"/>
            </w:pPr>
            <w:r>
              <w:rPr>
                <w:rFonts w:ascii="Carlito" w:hAnsi="Carlito"/>
                <w:sz w:val="17"/>
              </w:rPr>
              <w:t xml:space="preserve">0.211</w:t>
            </w:r>
          </w:p>
        </w:tc>
        <w:tc>
          <w:tcPr>
            <w:tcW w:type="dxa" w:w="1475"/>
            <w:vAlign w:val="top"/>
          </w:tcPr>
          <w:p>
            <w:pPr>
              <w:pStyle w:val="Compact"/>
              <w:spacing w:after="60" w:line="240" w:lineRule="auto"/>
              <w:jc w:val="left"/>
            </w:pPr>
            <w:r>
              <w:rPr>
                <w:rFonts w:ascii="Carlito" w:hAnsi="Carlito"/>
                <w:sz w:val="17"/>
              </w:rPr>
              <w:t xml:space="preserve">0.354</w:t>
            </w:r>
          </w:p>
        </w:tc>
      </w:tr>
      <w:tr>
        <w:trPr>
          <w:cantSplit/>
        </w:trPr>
        <w:tc>
          <w:tcPr>
            <w:tcW w:type="dxa" w:w="885"/>
            <w:vAlign w:val="top"/>
          </w:tcPr>
          <w:p>
            <w:pPr>
              <w:pStyle w:val="Compact"/>
              <w:spacing w:after="60" w:line="240" w:lineRule="auto"/>
              <w:jc w:val="left"/>
            </w:pPr>
            <w:r>
              <w:rPr>
                <w:rFonts w:ascii="Carlito" w:hAnsi="Carlito"/>
                <w:sz w:val="17"/>
              </w:rPr>
              <w:t xml:space="preserve">5</w:t>
            </w:r>
          </w:p>
        </w:tc>
        <w:tc>
          <w:tcPr>
            <w:tcW w:type="dxa" w:w="1376"/>
            <w:vAlign w:val="top"/>
          </w:tcPr>
          <w:p>
            <w:pPr>
              <w:pStyle w:val="Compact"/>
              <w:spacing w:after="60" w:line="240" w:lineRule="auto"/>
              <w:jc w:val="left"/>
            </w:pPr>
            <w:r>
              <w:rPr>
                <w:rFonts w:ascii="Carlito" w:hAnsi="Carlito"/>
                <w:sz w:val="17"/>
              </w:rPr>
              <w:t xml:space="preserve">400</w:t>
            </w:r>
          </w:p>
        </w:tc>
        <w:tc>
          <w:tcPr>
            <w:tcW w:type="dxa" w:w="2163"/>
            <w:vAlign w:val="top"/>
          </w:tcPr>
          <w:p>
            <w:pPr>
              <w:pStyle w:val="Compact"/>
              <w:spacing w:after="60" w:line="240" w:lineRule="auto"/>
              <w:jc w:val="left"/>
            </w:pPr>
            <w:r>
              <w:rPr>
                <w:rFonts w:ascii="Carlito" w:hAnsi="Carlito"/>
                <w:sz w:val="17"/>
              </w:rPr>
              <w:t xml:space="preserve">1.000</w:t>
            </w:r>
          </w:p>
        </w:tc>
        <w:tc>
          <w:tcPr>
            <w:tcW w:type="dxa" w:w="2163"/>
            <w:vAlign w:val="top"/>
          </w:tcPr>
          <w:p>
            <w:pPr>
              <w:pStyle w:val="Compact"/>
              <w:spacing w:after="60" w:line="240" w:lineRule="auto"/>
              <w:jc w:val="left"/>
            </w:pPr>
            <w:r>
              <w:rPr>
                <w:rFonts w:ascii="Carlito" w:hAnsi="Carlito"/>
                <w:sz w:val="17"/>
              </w:rPr>
              <w:t xml:space="preserve">0.000</w:t>
            </w:r>
          </w:p>
        </w:tc>
        <w:tc>
          <w:tcPr>
            <w:tcW w:type="dxa" w:w="1770"/>
            <w:vAlign w:val="top"/>
          </w:tcPr>
          <w:p>
            <w:pPr>
              <w:pStyle w:val="Compact"/>
              <w:spacing w:after="60" w:line="240" w:lineRule="auto"/>
              <w:jc w:val="left"/>
            </w:pPr>
            <w:r>
              <w:rPr>
                <w:rFonts w:ascii="Carlito" w:hAnsi="Carlito"/>
                <w:sz w:val="17"/>
              </w:rPr>
              <w:t xml:space="preserve">0.110</w:t>
            </w:r>
          </w:p>
        </w:tc>
        <w:tc>
          <w:tcPr>
            <w:tcW w:type="dxa" w:w="1475"/>
            <w:vAlign w:val="top"/>
          </w:tcPr>
          <w:p>
            <w:pPr>
              <w:pStyle w:val="Compact"/>
              <w:spacing w:after="60" w:line="240" w:lineRule="auto"/>
              <w:jc w:val="left"/>
            </w:pPr>
            <w:r>
              <w:rPr>
                <w:rFonts w:ascii="Carlito" w:hAnsi="Carlito"/>
                <w:sz w:val="17"/>
              </w:rPr>
              <w:t xml:space="preserve">0.177</w:t>
            </w:r>
          </w:p>
        </w:tc>
      </w:tr>
      <w:tr>
        <w:trPr>
          <w:cantSplit/>
        </w:trPr>
        <w:tc>
          <w:tcPr>
            <w:tcW w:type="dxa" w:w="885"/>
            <w:vAlign w:val="top"/>
          </w:tcPr>
          <w:p>
            <w:pPr>
              <w:pStyle w:val="Compact"/>
              <w:spacing w:after="60" w:line="240" w:lineRule="auto"/>
              <w:jc w:val="left"/>
            </w:pPr>
            <w:r>
              <w:rPr>
                <w:rFonts w:ascii="Carlito" w:hAnsi="Carlito"/>
                <w:sz w:val="17"/>
              </w:rPr>
              <w:t xml:space="preserve">7</w:t>
            </w:r>
          </w:p>
        </w:tc>
        <w:tc>
          <w:tcPr>
            <w:tcW w:type="dxa" w:w="1376"/>
            <w:vAlign w:val="top"/>
          </w:tcPr>
          <w:p>
            <w:pPr>
              <w:pStyle w:val="Compact"/>
              <w:spacing w:after="60" w:line="240" w:lineRule="auto"/>
              <w:jc w:val="left"/>
            </w:pPr>
            <w:r>
              <w:rPr>
                <w:rFonts w:ascii="Carlito" w:hAnsi="Carlito"/>
                <w:sz w:val="17"/>
              </w:rPr>
              <w:t xml:space="preserve">200</w:t>
            </w:r>
          </w:p>
        </w:tc>
        <w:tc>
          <w:tcPr>
            <w:tcW w:type="dxa" w:w="2163"/>
            <w:vAlign w:val="top"/>
          </w:tcPr>
          <w:p>
            <w:pPr>
              <w:pStyle w:val="Compact"/>
              <w:spacing w:after="60" w:line="240" w:lineRule="auto"/>
              <w:jc w:val="left"/>
            </w:pPr>
            <w:r>
              <w:rPr>
                <w:rFonts w:ascii="Carlito" w:hAnsi="Carlito"/>
                <w:sz w:val="17"/>
              </w:rPr>
              <w:t xml:space="preserve">1.000</w:t>
            </w:r>
          </w:p>
        </w:tc>
        <w:tc>
          <w:tcPr>
            <w:tcW w:type="dxa" w:w="2163"/>
            <w:vAlign w:val="top"/>
          </w:tcPr>
          <w:p>
            <w:pPr>
              <w:pStyle w:val="Compact"/>
              <w:spacing w:after="60" w:line="240" w:lineRule="auto"/>
              <w:jc w:val="left"/>
            </w:pPr>
            <w:r>
              <w:rPr>
                <w:rFonts w:ascii="Carlito" w:hAnsi="Carlito"/>
                <w:sz w:val="17"/>
              </w:rPr>
              <w:t xml:space="preserve">0.000</w:t>
            </w:r>
          </w:p>
        </w:tc>
        <w:tc>
          <w:tcPr>
            <w:tcW w:type="dxa" w:w="1770"/>
            <w:vAlign w:val="top"/>
          </w:tcPr>
          <w:p>
            <w:pPr>
              <w:pStyle w:val="Compact"/>
              <w:spacing w:after="60" w:line="240" w:lineRule="auto"/>
              <w:jc w:val="left"/>
            </w:pPr>
            <w:r>
              <w:rPr>
                <w:rFonts w:ascii="Carlito" w:hAnsi="Carlito"/>
                <w:sz w:val="17"/>
              </w:rPr>
              <w:t xml:space="preserve">0.054</w:t>
            </w:r>
          </w:p>
        </w:tc>
        <w:tc>
          <w:tcPr>
            <w:tcW w:type="dxa" w:w="1475"/>
            <w:vAlign w:val="top"/>
          </w:tcPr>
          <w:p>
            <w:pPr>
              <w:pStyle w:val="Compact"/>
              <w:spacing w:after="60" w:line="240" w:lineRule="auto"/>
              <w:jc w:val="left"/>
            </w:pPr>
            <w:r>
              <w:rPr>
                <w:rFonts w:ascii="Carlito" w:hAnsi="Carlito"/>
                <w:sz w:val="17"/>
              </w:rPr>
              <w:t xml:space="preserve">0.088</w:t>
            </w:r>
          </w:p>
        </w:tc>
      </w:tr>
      <w:tr>
        <w:trPr>
          <w:cantSplit/>
        </w:trPr>
        <w:tc>
          <w:tcPr>
            <w:tcW w:type="dxa" w:w="885"/>
            <w:vAlign w:val="top"/>
          </w:tcPr>
          <w:p>
            <w:pPr>
              <w:pStyle w:val="Compact"/>
              <w:spacing w:after="60" w:line="240" w:lineRule="auto"/>
              <w:jc w:val="left"/>
            </w:pPr>
            <w:r>
              <w:rPr>
                <w:rFonts w:ascii="Carlito" w:hAnsi="Carlito"/>
                <w:sz w:val="17"/>
              </w:rPr>
              <w:t xml:space="preserve">9</w:t>
            </w:r>
          </w:p>
        </w:tc>
        <w:tc>
          <w:tcPr>
            <w:tcW w:type="dxa" w:w="1376"/>
            <w:vAlign w:val="top"/>
          </w:tcPr>
          <w:p>
            <w:pPr>
              <w:pStyle w:val="Compact"/>
              <w:spacing w:after="60" w:line="240" w:lineRule="auto"/>
              <w:jc w:val="left"/>
            </w:pPr>
            <w:r>
              <w:rPr>
                <w:rFonts w:ascii="Carlito" w:hAnsi="Carlito"/>
                <w:sz w:val="17"/>
              </w:rPr>
              <w:t xml:space="preserve">100</w:t>
            </w:r>
          </w:p>
        </w:tc>
        <w:tc>
          <w:tcPr>
            <w:tcW w:type="dxa" w:w="2163"/>
            <w:vAlign w:val="top"/>
          </w:tcPr>
          <w:p>
            <w:pPr>
              <w:pStyle w:val="Compact"/>
              <w:spacing w:after="60" w:line="240" w:lineRule="auto"/>
              <w:jc w:val="left"/>
            </w:pPr>
            <w:r>
              <w:rPr>
                <w:rFonts w:ascii="Carlito" w:hAnsi="Carlito"/>
                <w:sz w:val="17"/>
              </w:rPr>
              <w:t xml:space="preserve">1.000</w:t>
            </w:r>
          </w:p>
        </w:tc>
        <w:tc>
          <w:tcPr>
            <w:tcW w:type="dxa" w:w="2163"/>
            <w:vAlign w:val="top"/>
          </w:tcPr>
          <w:p>
            <w:pPr>
              <w:pStyle w:val="Compact"/>
              <w:spacing w:after="60" w:line="240" w:lineRule="auto"/>
              <w:jc w:val="left"/>
            </w:pPr>
            <w:r>
              <w:rPr>
                <w:rFonts w:ascii="Carlito" w:hAnsi="Carlito"/>
                <w:sz w:val="17"/>
              </w:rPr>
              <w:t xml:space="preserve">0.000</w:t>
            </w:r>
          </w:p>
        </w:tc>
        <w:tc>
          <w:tcPr>
            <w:tcW w:type="dxa" w:w="1770"/>
            <w:vAlign w:val="top"/>
          </w:tcPr>
          <w:p>
            <w:pPr>
              <w:pStyle w:val="Compact"/>
              <w:spacing w:after="60" w:line="240" w:lineRule="auto"/>
              <w:jc w:val="left"/>
            </w:pPr>
            <w:r>
              <w:rPr>
                <w:rFonts w:ascii="Carlito" w:hAnsi="Carlito"/>
                <w:sz w:val="17"/>
              </w:rPr>
              <w:t xml:space="preserve">0.028</w:t>
            </w:r>
          </w:p>
        </w:tc>
        <w:tc>
          <w:tcPr>
            <w:tcW w:type="dxa" w:w="1475"/>
            <w:vAlign w:val="top"/>
          </w:tcPr>
          <w:p>
            <w:pPr>
              <w:pStyle w:val="Compact"/>
              <w:spacing w:after="60" w:line="240" w:lineRule="auto"/>
              <w:jc w:val="left"/>
            </w:pPr>
            <w:r>
              <w:rPr>
                <w:rFonts w:ascii="Carlito" w:hAnsi="Carlito"/>
                <w:sz w:val="17"/>
              </w:rPr>
              <w:t xml:space="preserve">0.044</w:t>
            </w:r>
          </w:p>
        </w:tc>
      </w:tr>
    </w:tbl>
    <w:p>
      <w:pPr>
        <w:pStyle w:val="BodyText"/>
      </w:pPr>
      <w:r>
        <w:t xml:space="preserve">The last column retains the historical loose bound; Proposition 3 supplies the tighter</w:t>
      </w:r>
      <w:r>
        <w:t xml:space="preserve"> </w:t>
      </w:r>
      <m:oMath>
        <m:r>
          <m:t>b</m:t>
        </m:r>
        <m:r>
          <m:rPr>
            <m:sty m:val="p"/>
          </m:rPr>
          <m:t>/</m:t>
        </m:r>
        <m:r>
          <m:t>2</m:t>
        </m:r>
      </m:oMath>
      <w:r>
        <w:t xml:space="preserve">. In these sampled models the ready state makes every tested single-qubit fragment qualify at the one declared time, whereas Haar initialisation gives rare qualifying fragments. The rates in Table 1 are means of per-model fragment fractions, not the proportion of models with any record. At three qubits the nonzero Haar rate itself refutes a literal no-record reading. A mean advantage of 0.211 is nonzero even where few fragments meet the strict error threshold.</w:t>
      </w:r>
    </w:p>
    <w:bookmarkEnd w:id="39"/>
    <w:bookmarkEnd w:id="40"/>
    <w:bookmarkStart w:id="53" w:name="the-association-estimand-and-its-null"/>
    <w:p>
      <w:pPr>
        <w:pStyle w:val="Heading1"/>
      </w:pPr>
      <w:r>
        <w:t xml:space="preserve">5. The association estimand and its null</w:t>
      </w:r>
    </w:p>
    <w:bookmarkStart w:id="41" w:name="estimand-and-sampling-unit"/>
    <w:p>
      <w:pPr>
        <w:pStyle w:val="Heading2"/>
      </w:pPr>
      <w:r>
        <w:t xml:space="preserve">5.1 Estimand and sampling unit</w:t>
      </w:r>
    </w:p>
    <w:p>
      <w:pPr>
        <w:pStyle w:val="FirstParagraph"/>
      </w:pPr>
      <w:r>
        <w:t xml:space="preserve">For a frozen implementation</w:t>
      </w:r>
      <w:r>
        <w:t xml:space="preserve"> </w:t>
      </w:r>
      <m:oMath>
        <m:r>
          <m:t>Θ</m:t>
        </m:r>
      </m:oMath>
      <w:r>
        <w:t xml:space="preserve"> </w:t>
      </w:r>
      <w:r>
        <w:t xml:space="preserve">with model law</w:t>
      </w:r>
      <w:r>
        <w:t xml:space="preserve"> </w:t>
      </w:r>
      <m:oMath>
        <m:r>
          <m:t>ν</m:t>
        </m:r>
      </m:oMath>
      <w:r>
        <w:t xml:space="preserve">, let</w:t>
      </w:r>
      <w:r>
        <w:t xml:space="preserve"> </w:t>
      </w:r>
      <m:oMath>
        <m:sSub>
          <m:e>
            <m:r>
              <m:t>A</m:t>
            </m:r>
          </m:e>
          <m:sub>
            <m:r>
              <m:t>Θ</m:t>
            </m:r>
          </m:sub>
        </m:sSub>
        <m:r>
          <m:rPr>
            <m:sty m:val="p"/>
          </m:rPr>
          <m:t>(</m:t>
        </m:r>
        <m:r>
          <m:t>M</m:t>
        </m:r>
        <m:r>
          <m:rPr>
            <m:sty m:val="p"/>
          </m:rPr>
          <m:t>)</m:t>
        </m:r>
      </m:oMath>
      <w:r>
        <w:t xml:space="preserve"> </w:t>
      </w:r>
      <w:r>
        <w:t xml:space="preserve">be the association event of Section 2.6 for model-and-history</w:t>
      </w:r>
      <w:r>
        <w:t xml:space="preserve"> </w:t>
      </w:r>
      <m:oMath>
        <m:r>
          <m:t>M</m:t>
        </m:r>
      </m:oMath>
      <w:r>
        <w:t xml:space="preserve"> </w:t>
      </w:r>
      <w:r>
        <w:t xml:space="preserve">and</w:t>
      </w:r>
      <w:r>
        <w:t xml:space="preserve"> </w:t>
      </w:r>
      <m:oMath>
        <m:sSub>
          <m:e>
            <m:r>
              <m:t>q</m:t>
            </m:r>
          </m:e>
          <m:sub>
            <m:r>
              <m:t>Θ</m:t>
            </m:r>
          </m:sub>
        </m:sSub>
        <m:r>
          <m:rPr>
            <m:sty m:val="p"/>
          </m:rPr>
          <m:t>(</m:t>
        </m:r>
        <m:r>
          <m:t>M</m:t>
        </m:r>
        <m:r>
          <m:rPr>
            <m:sty m:val="p"/>
          </m:rPr>
          <m:t>)</m:t>
        </m:r>
      </m:oMath>
      <w:r>
        <w:t xml:space="preserve"> </w:t>
      </w:r>
      <w:r>
        <w:t xml:space="preserve">the chance probability of that event under a declared baseline. The estimand is</w:t>
      </w:r>
    </w:p>
    <w:p>
      <w:pPr>
        <w:pStyle w:val="BodyText"/>
      </w:pPr>
      <m:oMathPara>
        <m:oMathParaPr>
          <m:jc m:val="center"/>
        </m:oMathParaPr>
        <m:oMath>
          <m:sSub>
            <m:e>
              <m:r>
                <m:t>d</m:t>
              </m:r>
            </m:e>
            <m:sub>
              <m:r>
                <m:t>Θ</m:t>
              </m:r>
            </m:sub>
          </m:sSub>
          <m:r>
            <m:rPr>
              <m:sty m:val="p"/>
            </m:rPr>
            <m:t>=</m:t>
          </m:r>
          <m:sSub>
            <m:e>
              <m:r>
                <m:rPr>
                  <m:sty m:val="p"/>
                  <m:scr m:val="double-struck"/>
                </m:rPr>
                <m:t>E</m:t>
              </m:r>
            </m:e>
            <m:sub>
              <m:r>
                <m:t>ν</m:t>
              </m:r>
            </m:sub>
          </m:sSub>
          <m:r>
            <m:rPr>
              <m:sty m:val="p"/>
            </m:rPr>
            <m:t>[</m:t>
          </m:r>
          <m:sSub>
            <m:e>
              <m:r>
                <m:t>A</m:t>
              </m:r>
            </m:e>
            <m:sub>
              <m:r>
                <m:t>Θ</m:t>
              </m:r>
            </m:sub>
          </m:sSub>
          <m:r>
            <m:rPr>
              <m:sty m:val="p"/>
            </m:rPr>
            <m:t>(</m:t>
          </m:r>
          <m:r>
            <m:t>M</m:t>
          </m:r>
          <m:r>
            <m:rPr>
              <m:sty m:val="p"/>
            </m:rPr>
            <m:t>)</m:t>
          </m:r>
          <m:r>
            <m:rPr>
              <m:sty m:val="p"/>
            </m:rPr>
            <m:t>]</m:t>
          </m:r>
          <m:r>
            <m:rPr>
              <m:sty m:val="p"/>
            </m:rPr>
            <m:t>−</m:t>
          </m:r>
          <m:sSub>
            <m:e>
              <m:r>
                <m:rPr>
                  <m:sty m:val="p"/>
                  <m:scr m:val="double-struck"/>
                </m:rPr>
                <m:t>E</m:t>
              </m:r>
            </m:e>
            <m:sub>
              <m:r>
                <m:t>ν</m:t>
              </m:r>
            </m:sub>
          </m:sSub>
          <m:r>
            <m:rPr>
              <m:sty m:val="p"/>
            </m:rPr>
            <m:t>[</m:t>
          </m:r>
          <m:sSub>
            <m:e>
              <m:r>
                <m:t>q</m:t>
              </m:r>
            </m:e>
            <m:sub>
              <m:r>
                <m:t>Θ</m:t>
              </m:r>
            </m:sub>
          </m:sSub>
          <m:r>
            <m:rPr>
              <m:sty m:val="p"/>
            </m:rPr>
            <m:t>(</m:t>
          </m:r>
          <m:r>
            <m:t>M</m:t>
          </m:r>
          <m:r>
            <m:rPr>
              <m:sty m:val="p"/>
            </m:rPr>
            <m:t>)</m:t>
          </m:r>
          <m:r>
            <m:rPr>
              <m:sty m:val="p"/>
            </m:rPr>
            <m:t>]</m:t>
          </m:r>
          <m:r>
            <m:rPr>
              <m:sty m:val="p"/>
            </m:rPr>
            <m:t>.</m:t>
          </m:r>
          <m:r>
            <m:t>  </m:t>
          </m:r>
          <m:r>
            <m:rPr>
              <m:sty m:val="p"/>
            </m:rPr>
            <m:t>(</m:t>
          </m:r>
          <m:r>
            <m:t>5</m:t>
          </m:r>
          <m:r>
            <m:rPr>
              <m:sty m:val="p"/>
            </m:rPr>
            <m:t>)</m:t>
          </m:r>
        </m:oMath>
      </m:oMathPara>
    </w:p>
    <w:p>
      <w:pPr>
        <w:pStyle w:val="FirstParagraph"/>
      </w:pPr>
      <w:r>
        <w:t xml:space="preserve">The independent sampling unit is a sampled model together with its preparation history. Fragments, times and candidates within one model are not independent units.</w:t>
      </w:r>
    </w:p>
    <w:bookmarkEnd w:id="41"/>
    <w:bookmarkStart w:id="42" w:name="the-hypergeometric-baseline"/>
    <w:p>
      <w:pPr>
        <w:pStyle w:val="Heading2"/>
      </w:pPr>
      <w:r>
        <w:t xml:space="preserve">5.2 The hypergeometric baseline</w:t>
      </w:r>
    </w:p>
    <w:p>
      <w:pPr>
        <w:pStyle w:val="FirstParagraph"/>
      </w:pPr>
      <w:r>
        <w:rPr>
          <w:b/>
          <w:bCs/>
        </w:rPr>
        <w:t xml:space="preserve">Lemma 4.</w:t>
      </w:r>
      <w:r>
        <w:t xml:space="preserve"> </w:t>
      </w:r>
      <w:r>
        <w:t xml:space="preserve">Let</w:t>
      </w:r>
      <w:r>
        <w:t xml:space="preserve"> </w:t>
      </w:r>
      <m:oMath>
        <m:sSub>
          <m:e>
            <m:r>
              <m:rPr>
                <m:sty m:val="p"/>
                <m:scr m:val="script"/>
              </m:rPr>
              <m:t>N</m:t>
            </m:r>
          </m:e>
          <m:sub>
            <m:r>
              <m:t>L</m:t>
            </m:r>
          </m:sub>
        </m:sSub>
      </m:oMath>
      <w:r>
        <w:t xml:space="preserve"> </w:t>
      </w:r>
      <w:r>
        <w:t xml:space="preserve">be a fixed subset of size</w:t>
      </w:r>
      <w:r>
        <w:t xml:space="preserve"> </w:t>
      </w:r>
      <m:oMath>
        <m:r>
          <m:t>a</m:t>
        </m:r>
      </m:oMath>
      <w:r>
        <w:t xml:space="preserve"> </w:t>
      </w:r>
      <w:r>
        <w:t xml:space="preserve">of</w:t>
      </w:r>
      <w:r>
        <w:t xml:space="preserve"> </w:t>
      </w:r>
      <m:oMath>
        <m:r>
          <m:t>N</m:t>
        </m:r>
      </m:oMath>
      <w:r>
        <w:t xml:space="preserve"> </w:t>
      </w:r>
      <w:r>
        <w:t xml:space="preserve">candidate classes, and let</w:t>
      </w:r>
      <w:r>
        <w:t xml:space="preserve"> </w:t>
      </w:r>
      <m:oMath>
        <m:sSub>
          <m:e>
            <m:r>
              <m:rPr>
                <m:sty m:val="p"/>
                <m:scr m:val="script"/>
              </m:rPr>
              <m:t>N</m:t>
            </m:r>
          </m:e>
          <m:sub>
            <m:r>
              <m:t>R</m:t>
            </m:r>
          </m:sub>
        </m:sSub>
      </m:oMath>
      <w:r>
        <w:t xml:space="preserve"> </w:t>
      </w:r>
      <w:r>
        <w:t xml:space="preserve">be a uniformly random subset of size</w:t>
      </w:r>
      <w:r>
        <w:t xml:space="preserve"> </w:t>
      </w:r>
      <m:oMath>
        <m:r>
          <m:t>b</m:t>
        </m:r>
      </m:oMath>
      <w:r>
        <w:t xml:space="preserve">. Then</w:t>
      </w:r>
    </w:p>
    <w:p>
      <w:pPr>
        <w:pStyle w:val="BodyText"/>
      </w:pPr>
      <m:oMathPara>
        <m:oMathParaPr>
          <m:jc m:val="center"/>
        </m:oMathParaPr>
        <m:oMath>
          <m:r>
            <m:t>q</m:t>
          </m:r>
          <m:r>
            <m:rPr>
              <m:sty m:val="p"/>
            </m:rPr>
            <m:t>(</m:t>
          </m:r>
          <m:r>
            <m:t>N</m:t>
          </m:r>
          <m:r>
            <m:rPr>
              <m:sty m:val="p"/>
            </m:rPr>
            <m:t>,</m:t>
          </m:r>
          <m:r>
            <m:t>a</m:t>
          </m:r>
          <m:r>
            <m:rPr>
              <m:sty m:val="p"/>
            </m:rPr>
            <m:t>,</m:t>
          </m:r>
          <m:r>
            <m:t>b</m:t>
          </m:r>
          <m:r>
            <m:rPr>
              <m:sty m:val="p"/>
            </m:rPr>
            <m:t>)</m:t>
          </m:r>
          <m:box>
            <m:boxPr>
              <m:opEmu m:val="on"/>
            </m:boxPr>
            <m:e>
              <m:r>
                <m:rPr>
                  <m:sty m:val="p"/>
                </m:rPr>
                <m:t>:=</m:t>
              </m:r>
            </m:e>
          </m:box>
          <m:r>
            <m:rPr>
              <m:sty m:val="p"/>
              <m:nor m:val="1"/>
            </m:rPr>
            <w:rPr>
              <w:i w:val="0"/>
            </w:rPr>
            <m:t>Pr</m:t>
          </m:r>
          <m:r>
            <m:rPr>
              <m:sty m:val="p"/>
            </m:rPr>
            <m:t>(</m:t>
          </m:r>
          <m:sSub>
            <m:e>
              <m:r>
                <m:rPr>
                  <m:sty m:val="p"/>
                  <m:scr m:val="script"/>
                </m:rPr>
                <m:t>N</m:t>
              </m:r>
            </m:e>
            <m:sub>
              <m:r>
                <m:t>L</m:t>
              </m:r>
            </m:sub>
          </m:sSub>
          <m:r>
            <m:rPr>
              <m:sty m:val="p"/>
            </m:rPr>
            <m:t>∩</m:t>
          </m:r>
          <m:sSub>
            <m:e>
              <m:r>
                <m:rPr>
                  <m:sty m:val="p"/>
                  <m:scr m:val="script"/>
                </m:rPr>
                <m:t>N</m:t>
              </m:r>
            </m:e>
            <m:sub>
              <m:r>
                <m:t>R</m:t>
              </m:r>
            </m:sub>
          </m:sSub>
          <m:r>
            <m:rPr>
              <m:sty m:val="p"/>
            </m:rPr>
            <m:t>≠</m:t>
          </m:r>
          <m:r>
            <m:rPr>
              <m:sty m:val="p"/>
            </m:rPr>
            <m:t>∅</m:t>
          </m:r>
          <m:r>
            <m:rPr>
              <m:sty m:val="p"/>
            </m:rPr>
            <m:t>)</m:t>
          </m:r>
          <m:r>
            <m:rPr>
              <m:sty m:val="p"/>
            </m:rPr>
            <m:t>=</m:t>
          </m:r>
          <m:r>
            <m:t>1</m:t>
          </m:r>
          <m:r>
            <m:rPr>
              <m:sty m:val="p"/>
            </m:rPr>
            <m:t>−</m:t>
          </m:r>
          <m:r>
            <m:rPr>
              <m:sty m:val="p"/>
            </m:rPr>
            <m:t>(</m:t>
          </m:r>
          <m:f>
            <m:fPr>
              <m:type m:val="noBar"/>
            </m:fPr>
            <m:num>
              <m:r>
                <m:t>N</m:t>
              </m:r>
              <m:r>
                <m:rPr>
                  <m:sty m:val="p"/>
                </m:rPr>
                <m:t>−</m:t>
              </m:r>
              <m:r>
                <m:t>a</m:t>
              </m:r>
            </m:num>
            <m:den>
              <m:r>
                <m:t>b</m:t>
              </m:r>
            </m:den>
          </m:f>
          <m:r>
            <m:rPr>
              <m:sty m:val="p"/>
            </m:rPr>
            <m:t>)</m:t>
          </m:r>
          <m:r>
            <m:rPr>
              <m:sty m:val="p"/>
            </m:rPr>
            <m:t>/</m:t>
          </m:r>
          <m:r>
            <m:rPr>
              <m:sty m:val="p"/>
            </m:rPr>
            <m:t>(</m:t>
          </m:r>
          <m:f>
            <m:fPr>
              <m:type m:val="noBar"/>
            </m:fPr>
            <m:num>
              <m:r>
                <m:t>N</m:t>
              </m:r>
            </m:num>
            <m:den>
              <m:r>
                <m:t>b</m:t>
              </m:r>
            </m:den>
          </m:f>
          <m:r>
            <m:rPr>
              <m:sty m:val="p"/>
            </m:rPr>
            <m:t>)</m:t>
          </m:r>
          <m:r>
            <m:rPr>
              <m:sty m:val="p"/>
            </m:rPr>
            <m:t>,</m:t>
          </m:r>
        </m:oMath>
      </m:oMathPara>
    </w:p>
    <w:p>
      <w:pPr>
        <w:pStyle w:val="FirstParagraph"/>
      </w:pPr>
      <w:r>
        <w:t xml:space="preserve">with</w:t>
      </w:r>
      <w:r>
        <w:t xml:space="preserve"> </w:t>
      </w:r>
      <m:oMath>
        <m:r>
          <m:t>q</m:t>
        </m:r>
        <m:r>
          <m:rPr>
            <m:sty m:val="p"/>
          </m:rPr>
          <m:t>=</m:t>
        </m:r>
        <m:r>
          <m:t>1</m:t>
        </m:r>
      </m:oMath>
      <w:r>
        <w:t xml:space="preserve"> </w:t>
      </w:r>
      <w:r>
        <w:t xml:space="preserve">if</w:t>
      </w:r>
      <w:r>
        <w:t xml:space="preserve"> </w:t>
      </w:r>
      <m:oMath>
        <m:r>
          <m:t>a</m:t>
        </m:r>
        <m:r>
          <m:rPr>
            <m:sty m:val="p"/>
          </m:rPr>
          <m:t>+</m:t>
        </m:r>
        <m:r>
          <m:t>b</m:t>
        </m:r>
        <m:r>
          <m:rPr>
            <m:sty m:val="p"/>
          </m:rPr>
          <m:t>&gt;</m:t>
        </m:r>
        <m:r>
          <m:t>N</m:t>
        </m:r>
      </m:oMath>
      <w:r>
        <w:t xml:space="preserve"> </w:t>
      </w:r>
      <w:r>
        <w:t xml:space="preserve">and</w:t>
      </w:r>
      <w:r>
        <w:t xml:space="preserve"> </w:t>
      </w:r>
      <m:oMath>
        <m:r>
          <m:t>q</m:t>
        </m:r>
        <m:r>
          <m:rPr>
            <m:sty m:val="p"/>
          </m:rPr>
          <m:t>=</m:t>
        </m:r>
        <m:r>
          <m:t>0</m:t>
        </m:r>
      </m:oMath>
      <w:r>
        <w:t xml:space="preserve"> </w:t>
      </w:r>
      <w:r>
        <w:t xml:space="preserve">if</w:t>
      </w:r>
      <w:r>
        <w:t xml:space="preserve"> </w:t>
      </w:r>
      <m:oMath>
        <m:r>
          <m:t>a</m:t>
        </m:r>
        <m:r>
          <m:rPr>
            <m:sty m:val="p"/>
          </m:rPr>
          <m:t>=</m:t>
        </m:r>
        <m:r>
          <m:t>0</m:t>
        </m:r>
      </m:oMath>
      <w:r>
        <w:t xml:space="preserve"> </w:t>
      </w:r>
      <w:r>
        <w:t xml:space="preserve">or</w:t>
      </w:r>
      <w:r>
        <w:t xml:space="preserve"> </w:t>
      </w:r>
      <m:oMath>
        <m:r>
          <m:t>b</m:t>
        </m:r>
        <m:r>
          <m:rPr>
            <m:sty m:val="p"/>
          </m:rPr>
          <m:t>=</m:t>
        </m:r>
        <m:r>
          <m:t>0</m:t>
        </m:r>
      </m:oMath>
      <w:r>
        <w:t xml:space="preserve">.</w:t>
      </w:r>
    </w:p>
    <w:p>
      <w:pPr>
        <w:pStyle w:val="BodyText"/>
      </w:pPr>
      <w:r>
        <w:rPr>
          <w:i/>
          <w:iCs/>
        </w:rPr>
        <w:t xml:space="preserve">Proof.</w:t>
      </w:r>
      <w:r>
        <w:t xml:space="preserve"> </w:t>
      </w:r>
      <w:r>
        <w:t xml:space="preserve">There are</w:t>
      </w:r>
      <w:r>
        <w:t xml:space="preserve"> </w:t>
      </w:r>
      <m:oMath>
        <m:r>
          <m:rPr>
            <m:sty m:val="p"/>
          </m:rPr>
          <m:t>(</m:t>
        </m:r>
        <m:f>
          <m:fPr>
            <m:type m:val="noBar"/>
          </m:fPr>
          <m:num>
            <m:r>
              <m:t>N</m:t>
            </m:r>
            <m:r>
              <m:rPr>
                <m:sty m:val="p"/>
              </m:rPr>
              <m:t>−</m:t>
            </m:r>
            <m:r>
              <m:t>a</m:t>
            </m:r>
          </m:num>
          <m:den>
            <m:r>
              <m:t>b</m:t>
            </m:r>
          </m:den>
        </m:f>
        <m:r>
          <m:rPr>
            <m:sty m:val="p"/>
          </m:rPr>
          <m:t>)</m:t>
        </m:r>
      </m:oMath>
      <w:r>
        <w:t xml:space="preserve"> </w:t>
      </w:r>
      <w:r>
        <w:t xml:space="preserve">subsets of size</w:t>
      </w:r>
      <w:r>
        <w:t xml:space="preserve"> </w:t>
      </w:r>
      <m:oMath>
        <m:r>
          <m:t>b</m:t>
        </m:r>
      </m:oMath>
      <w:r>
        <w:t xml:space="preserve"> </w:t>
      </w:r>
      <w:r>
        <w:t xml:space="preserve">that avoid</w:t>
      </w:r>
      <w:r>
        <w:t xml:space="preserve"> </w:t>
      </w:r>
      <m:oMath>
        <m:sSub>
          <m:e>
            <m:r>
              <m:rPr>
                <m:sty m:val="p"/>
                <m:scr m:val="script"/>
              </m:rPr>
              <m:t>N</m:t>
            </m:r>
          </m:e>
          <m:sub>
            <m:r>
              <m:t>L</m:t>
            </m:r>
          </m:sub>
        </m:sSub>
      </m:oMath>
      <w:r>
        <w:t xml:space="preserve"> </w:t>
      </w:r>
      <w:r>
        <w:t xml:space="preserve">out of</w:t>
      </w:r>
      <w:r>
        <w:t xml:space="preserve"> </w:t>
      </w:r>
      <m:oMath>
        <m:r>
          <m:rPr>
            <m:sty m:val="p"/>
          </m:rPr>
          <m:t>(</m:t>
        </m:r>
        <m:f>
          <m:fPr>
            <m:type m:val="noBar"/>
          </m:fPr>
          <m:num>
            <m:r>
              <m:t>N</m:t>
            </m:r>
          </m:num>
          <m:den>
            <m:r>
              <m:t>b</m:t>
            </m:r>
          </m:den>
        </m:f>
        <m:r>
          <m:rPr>
            <m:sty m:val="p"/>
          </m:rPr>
          <m:t>)</m:t>
        </m:r>
      </m:oMath>
      <w:r>
        <w:t xml:space="preserve"> </w:t>
      </w:r>
      <w:r>
        <w:t xml:space="preserve">equally likely subsets. If</w:t>
      </w:r>
      <w:r>
        <w:t xml:space="preserve"> </w:t>
      </w:r>
      <m:oMath>
        <m:r>
          <m:t>a</m:t>
        </m:r>
        <m:r>
          <m:rPr>
            <m:sty m:val="p"/>
          </m:rPr>
          <m:t>+</m:t>
        </m:r>
        <m:r>
          <m:t>b</m:t>
        </m:r>
        <m:r>
          <m:rPr>
            <m:sty m:val="p"/>
          </m:rPr>
          <m:t>&gt;</m:t>
        </m:r>
        <m:r>
          <m:t>N</m:t>
        </m:r>
      </m:oMath>
      <w:r>
        <w:t xml:space="preserve"> </w:t>
      </w:r>
      <w:r>
        <w:t xml:space="preserve">every subset meets</w:t>
      </w:r>
      <w:r>
        <w:t xml:space="preserve"> </w:t>
      </w:r>
      <m:oMath>
        <m:sSub>
          <m:e>
            <m:r>
              <m:rPr>
                <m:sty m:val="p"/>
                <m:scr m:val="script"/>
              </m:rPr>
              <m:t>N</m:t>
            </m:r>
          </m:e>
          <m:sub>
            <m:r>
              <m:t>L</m:t>
            </m:r>
          </m:sub>
        </m:sSub>
      </m:oMath>
      <w:r>
        <w:t xml:space="preserve">.</w:t>
      </w:r>
      <w:r>
        <w:t xml:space="preserve"> </w:t>
      </w:r>
      <m:oMath>
        <m:r>
          <m:rPr>
            <m:sty m:val="p"/>
          </m:rPr>
          <m:t>▫</m:t>
        </m:r>
      </m:oMath>
    </w:p>
    <w:p>
      <w:pPr>
        <w:pStyle w:val="BodyText"/>
      </w:pPr>
      <w:r>
        <w:t xml:space="preserve">For</w:t>
      </w:r>
      <w:r>
        <w:t xml:space="preserve"> </w:t>
      </w:r>
      <m:oMath>
        <m:r>
          <m:t>N</m:t>
        </m:r>
        <m:r>
          <m:rPr>
            <m:sty m:val="p"/>
          </m:rPr>
          <m:t>=</m:t>
        </m:r>
        <m:r>
          <m:t>8</m:t>
        </m:r>
      </m:oMath>
      <w:r>
        <w:t xml:space="preserve">,</w:t>
      </w:r>
      <w:r>
        <w:t xml:space="preserve"> </w:t>
      </w:r>
      <m:oMath>
        <m:r>
          <m:t>a</m:t>
        </m:r>
        <m:r>
          <m:rPr>
            <m:sty m:val="p"/>
          </m:rPr>
          <m:t>=</m:t>
        </m:r>
        <m:r>
          <m:t>2</m:t>
        </m:r>
      </m:oMath>
      <w:r>
        <w:t xml:space="preserve">,</w:t>
      </w:r>
      <w:r>
        <w:t xml:space="preserve"> </w:t>
      </w:r>
      <m:oMath>
        <m:r>
          <m:t>b</m:t>
        </m:r>
        <m:r>
          <m:rPr>
            <m:sty m:val="p"/>
          </m:rPr>
          <m:t>=</m:t>
        </m:r>
        <m:r>
          <m:t>3</m:t>
        </m:r>
      </m:oMath>
      <w:r>
        <w:t xml:space="preserve">,</w:t>
      </w:r>
      <w:r>
        <w:t xml:space="preserve"> </w:t>
      </w:r>
      <m:oMath>
        <m:r>
          <m:t>q</m:t>
        </m:r>
        <m:r>
          <m:rPr>
            <m:sty m:val="p"/>
          </m:rPr>
          <m:t>=</m:t>
        </m:r>
        <m:r>
          <m:t>0.6428571429</m:t>
        </m:r>
      </m:oMath>
      <w:r>
        <w:t xml:space="preserve">, confirmed by enumerating all 56 subsets (Supplement run S01). Under the null that</w:t>
      </w:r>
      <w:r>
        <w:t xml:space="preserve"> </w:t>
      </w:r>
      <m:oMath>
        <m:sSub>
          <m:e>
            <m:r>
              <m:rPr>
                <m:sty m:val="p"/>
                <m:scr m:val="script"/>
              </m:rPr>
              <m:t>N</m:t>
            </m:r>
          </m:e>
          <m:sub>
            <m:r>
              <m:t>R</m:t>
            </m:r>
          </m:sub>
        </m:sSub>
      </m:oMath>
      <w:r>
        <w:t xml:space="preserve"> </w:t>
      </w:r>
      <w:r>
        <w:t xml:space="preserve">is a uniformly random subset of its size given</w:t>
      </w:r>
      <w:r>
        <w:t xml:space="preserve"> </w:t>
      </w:r>
      <m:oMath>
        <m:sSub>
          <m:e>
            <m:r>
              <m:rPr>
                <m:sty m:val="p"/>
                <m:scr m:val="script"/>
              </m:rPr>
              <m:t>N</m:t>
            </m:r>
          </m:e>
          <m:sub>
            <m:r>
              <m:t>L</m:t>
            </m:r>
          </m:sub>
        </m:sSub>
      </m:oMath>
      <w:r>
        <w:t xml:space="preserve">,</w:t>
      </w:r>
      <w:r>
        <w:t xml:space="preserve"> </w:t>
      </w:r>
      <m:oMath>
        <m:r>
          <m:rPr>
            <m:sty m:val="p"/>
            <m:scr m:val="double-struck"/>
          </m:rPr>
          <m:t>E</m:t>
        </m:r>
        <m:r>
          <m:rPr>
            <m:sty m:val="p"/>
          </m:rPr>
          <m:t>[</m:t>
        </m:r>
        <m:r>
          <m:t>A</m:t>
        </m:r>
        <m:r>
          <m:rPr>
            <m:sty m:val="p"/>
          </m:rPr>
          <m:t>−</m:t>
        </m:r>
        <m:r>
          <m:t>q</m:t>
        </m:r>
        <m:r>
          <m:rPr>
            <m:sty m:val="p"/>
          </m:rPr>
          <m:t>]</m:t>
        </m:r>
        <m:r>
          <m:rPr>
            <m:sty m:val="p"/>
          </m:rPr>
          <m:t>=</m:t>
        </m:r>
        <m:r>
          <m:t>0</m:t>
        </m:r>
      </m:oMath>
      <w:r>
        <w:t xml:space="preserve">. Conditional uniformity of fixed-size subsets is a sufficient symmetry assumption for this formula; generic labels do not establish it. Particular nonexchangeable laws can coincidentally give the same overlap probability, so this is not an unrestricted if-and-only-if characterisation. The next subsection shows two ways in which exchangeability fails.</w:t>
      </w:r>
    </w:p>
    <w:bookmarkEnd w:id="42"/>
    <w:bookmarkStart w:id="43" w:name="two-calibration-failures"/>
    <w:p>
      <w:pPr>
        <w:pStyle w:val="Heading2"/>
      </w:pPr>
      <w:r>
        <w:t xml:space="preserve">5.3 Two calibration failures</w:t>
      </w:r>
    </w:p>
    <w:p>
      <w:pPr>
        <w:pStyle w:val="FirstParagraph"/>
      </w:pPr>
      <w:r>
        <w:rPr>
          <w:b/>
          <w:bCs/>
        </w:rPr>
        <w:t xml:space="preserve">Duplicate inflation (conservative).</w:t>
      </w:r>
      <w:r>
        <w:t xml:space="preserve"> </w:t>
      </w:r>
      <w:r>
        <w:t xml:space="preserve">Suppose the</w:t>
      </w:r>
      <w:r>
        <w:t xml:space="preserve"> </w:t>
      </w:r>
      <m:oMath>
        <m:r>
          <m:t>N</m:t>
        </m:r>
      </m:oMath>
      <w:r>
        <w:t xml:space="preserve"> </w:t>
      </w:r>
      <w:r>
        <w:t xml:space="preserve">labels fall into</w:t>
      </w:r>
      <w:r>
        <w:t xml:space="preserve"> </w:t>
      </w:r>
      <m:oMath>
        <m:r>
          <m:t>c</m:t>
        </m:r>
      </m:oMath>
      <w:r>
        <w:t xml:space="preserve"> </w:t>
      </w:r>
      <w:r>
        <w:t xml:space="preserve">stabilizer classes of equal size</w:t>
      </w:r>
      <w:r>
        <w:t xml:space="preserve"> </w:t>
      </w:r>
      <m:oMath>
        <m:r>
          <m:t>m</m:t>
        </m:r>
        <m:r>
          <m:rPr>
            <m:sty m:val="p"/>
          </m:rPr>
          <m:t>=</m:t>
        </m:r>
        <m:r>
          <m:t>N</m:t>
        </m:r>
        <m:r>
          <m:rPr>
            <m:sty m:val="p"/>
          </m:rPr>
          <m:t>/</m:t>
        </m:r>
        <m:r>
          <m:t>c</m:t>
        </m:r>
      </m:oMath>
      <w:r>
        <w:t xml:space="preserve">, and the near-optimal sets are unions of whole classes, containing</w:t>
      </w:r>
      <w:r>
        <w:t xml:space="preserve"> </w:t>
      </w:r>
      <m:oMath>
        <m:sSub>
          <m:e>
            <m:r>
              <m:t>k</m:t>
            </m:r>
          </m:e>
          <m:sub>
            <m:r>
              <m:t>a</m:t>
            </m:r>
          </m:sub>
        </m:sSub>
      </m:oMath>
      <w:r>
        <w:t xml:space="preserve"> </w:t>
      </w:r>
      <w:r>
        <w:t xml:space="preserve">and</w:t>
      </w:r>
      <w:r>
        <w:t xml:space="preserve"> </w:t>
      </w:r>
      <m:oMath>
        <m:sSub>
          <m:e>
            <m:r>
              <m:t>k</m:t>
            </m:r>
          </m:e>
          <m:sub>
            <m:r>
              <m:t>b</m:t>
            </m:r>
          </m:sub>
        </m:sSub>
      </m:oMath>
      <w:r>
        <w:t xml:space="preserve"> </w:t>
      </w:r>
      <w:r>
        <w:t xml:space="preserve">classes. The correct baseline pairs classes,</w:t>
      </w:r>
      <w:r>
        <w:t xml:space="preserve"> </w:t>
      </w:r>
      <m:oMath>
        <m:r>
          <m:t>q</m:t>
        </m:r>
        <m:r>
          <m:rPr>
            <m:sty m:val="p"/>
          </m:rPr>
          <m:t>(</m:t>
        </m:r>
        <m:r>
          <m:t>c</m:t>
        </m:r>
        <m:r>
          <m:rPr>
            <m:sty m:val="p"/>
          </m:rPr>
          <m:t>,</m:t>
        </m:r>
        <m:sSub>
          <m:e>
            <m:r>
              <m:t>k</m:t>
            </m:r>
          </m:e>
          <m:sub>
            <m:r>
              <m:t>a</m:t>
            </m:r>
          </m:sub>
        </m:sSub>
        <m:r>
          <m:rPr>
            <m:sty m:val="p"/>
          </m:rPr>
          <m:t>,</m:t>
        </m:r>
        <m:sSub>
          <m:e>
            <m:r>
              <m:t>k</m:t>
            </m:r>
          </m:e>
          <m:sub>
            <m:r>
              <m:t>b</m:t>
            </m:r>
          </m:sub>
        </m:sSub>
        <m:r>
          <m:rPr>
            <m:sty m:val="p"/>
          </m:rPr>
          <m:t>)</m:t>
        </m:r>
      </m:oMath>
      <w:r>
        <w:t xml:space="preserve">. The uniform-label formula</w:t>
      </w:r>
      <w:r>
        <w:t xml:space="preserve"> </w:t>
      </w:r>
      <m:oMath>
        <m:r>
          <m:t>q</m:t>
        </m:r>
        <m:r>
          <m:rPr>
            <m:sty m:val="p"/>
          </m:rPr>
          <m:t>(</m:t>
        </m:r>
        <m:r>
          <m:t>N</m:t>
        </m:r>
        <m:r>
          <m:rPr>
            <m:sty m:val="p"/>
          </m:rPr>
          <m:t>,</m:t>
        </m:r>
        <m:sSub>
          <m:e>
            <m:r>
              <m:t>k</m:t>
            </m:r>
          </m:e>
          <m:sub>
            <m:r>
              <m:t>a</m:t>
            </m:r>
          </m:sub>
        </m:sSub>
        <m:r>
          <m:t>m</m:t>
        </m:r>
        <m:r>
          <m:rPr>
            <m:sty m:val="p"/>
          </m:rPr>
          <m:t>,</m:t>
        </m:r>
        <m:sSub>
          <m:e>
            <m:r>
              <m:t>k</m:t>
            </m:r>
          </m:e>
          <m:sub>
            <m:r>
              <m:t>b</m:t>
            </m:r>
          </m:sub>
        </m:sSub>
        <m:r>
          <m:t>m</m:t>
        </m:r>
        <m:r>
          <m:rPr>
            <m:sty m:val="p"/>
          </m:rPr>
          <m:t>)</m:t>
        </m:r>
      </m:oMath>
      <w:r>
        <w:t xml:space="preserve"> </w:t>
      </w:r>
      <w:r>
        <w:t xml:space="preserve">is larger. Table 2 gives exact values, each with a Monte Carlo check of the class-level value from 200,000 draws (Supplement run S04). In this equal-sized, whole-class construction, the label formula gives a baseline that is too high, so the specified comparison loses power and can hide real enrichment. Other weighting or candidate-generation laws need a separate calibration argument.</w:t>
      </w:r>
    </w:p>
    <w:p>
      <w:pPr>
        <w:pStyle w:val="BodyText"/>
        <w:keepNext/>
      </w:pPr>
      <w:r>
        <w:rPr>
          <w:b/>
          <w:bCs/>
        </w:rPr>
        <w:t xml:space="preserve">Table 2. Uniform-label versus class-level chance overlap.</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983"/>
        <w:gridCol w:w="1376"/>
        <w:gridCol w:w="1573"/>
        <w:gridCol w:w="1376"/>
        <w:gridCol w:w="1376"/>
        <w:gridCol w:w="1376"/>
        <w:gridCol w:w="1770"/>
      </w:tblGrid>
      <w:tr>
        <w:trPr>
          <w:tblHeader w:val="on"/>
          <w:tblHeader/>
          <w:cantSplit/>
        </w:trPr>
        <w:tc>
          <w:tcPr>
            <w:shd w:fill="EAF0F4"/>
            <w:tcW w:type="dxa" w:w="983"/>
            <w:vAlign w:val="top"/>
          </w:tcPr>
          <w:p>
            <w:pPr>
              <w:pStyle w:val="Compact"/>
              <w:spacing w:after="60" w:line="240" w:lineRule="auto"/>
              <w:jc w:val="left"/>
            </w:pPr>
            <w:r>
              <w:rPr>
                <w:rFonts w:ascii="Carlito" w:hAnsi="Carlito"/>
                <w:b/>
                <w:sz w:val="17"/>
              </w:rPr>
              <w:t xml:space="preserve">Labels</w:t>
            </w:r>
            <w:r>
              <w:rPr>
                <w:rFonts w:ascii="Carlito" w:hAnsi="Carlito"/>
                <w:b/>
                <w:sz w:val="17"/>
              </w:rPr>
              <w:t xml:space="preserve"> </w:t>
            </w:r>
            <m:oMath>
              <m:r>
                <m:t>N</m:t>
              </m:r>
            </m:oMath>
          </w:p>
        </w:tc>
        <w:tc>
          <w:tcPr>
            <w:shd w:fill="EAF0F4"/>
            <w:tcW w:type="dxa" w:w="1376"/>
            <w:vAlign w:val="top"/>
          </w:tcPr>
          <w:p>
            <w:pPr>
              <w:pStyle w:val="Compact"/>
              <w:spacing w:after="60" w:line="240" w:lineRule="auto"/>
              <w:jc w:val="left"/>
            </w:pPr>
            <w:r>
              <w:rPr>
                <w:rFonts w:ascii="Carlito" w:hAnsi="Carlito"/>
                <w:b/>
                <w:sz w:val="17"/>
              </w:rPr>
              <w:t xml:space="preserve">Classes</w:t>
            </w:r>
            <w:r>
              <w:rPr>
                <w:rFonts w:ascii="Carlito" w:hAnsi="Carlito"/>
                <w:b/>
                <w:sz w:val="17"/>
              </w:rPr>
              <w:t xml:space="preserve"> </w:t>
            </w:r>
            <m:oMath>
              <m:r>
                <m:t>c</m:t>
              </m:r>
            </m:oMath>
          </w:p>
        </w:tc>
        <w:tc>
          <w:tcPr>
            <w:shd w:fill="EAF0F4"/>
            <w:tcW w:type="dxa" w:w="1573"/>
            <w:vAlign w:val="top"/>
          </w:tcPr>
          <w:p>
            <w:pPr>
              <w:pStyle w:val="Compact"/>
              <w:spacing w:after="60" w:line="240" w:lineRule="auto"/>
              <w:jc w:val="left"/>
            </w:pPr>
            <w:r>
              <w:rPr>
                <w:rFonts w:ascii="Carlito" w:hAnsi="Carlito"/>
                <w:b/>
                <w:sz w:val="17"/>
              </w:rPr>
              <w:t xml:space="preserve">Near sets (classes)</w:t>
            </w:r>
          </w:p>
        </w:tc>
        <w:tc>
          <w:tcPr>
            <w:shd w:fill="EAF0F4"/>
            <w:tcW w:type="dxa" w:w="1376"/>
            <w:vAlign w:val="top"/>
          </w:tcPr>
          <w:p>
            <w:pPr>
              <w:pStyle w:val="Compact"/>
              <w:spacing w:after="60" w:line="240" w:lineRule="auto"/>
              <w:jc w:val="left"/>
            </w:pPr>
            <m:oMath>
              <m:r>
                <m:t>q</m:t>
              </m:r>
            </m:oMath>
            <w:r>
              <w:rPr>
                <w:rFonts w:ascii="Carlito" w:hAnsi="Carlito"/>
                <w:b/>
                <w:sz w:val="17"/>
              </w:rPr>
              <w:t xml:space="preserve"> </w:t>
            </w:r>
            <w:r>
              <w:rPr>
                <w:rFonts w:ascii="Carlito" w:hAnsi="Carlito"/>
                <w:b/>
                <w:sz w:val="17"/>
              </w:rPr>
              <w:t xml:space="preserve">uniform labels</w:t>
            </w:r>
          </w:p>
        </w:tc>
        <w:tc>
          <w:tcPr>
            <w:shd w:fill="EAF0F4"/>
            <w:tcW w:type="dxa" w:w="1376"/>
            <w:vAlign w:val="top"/>
          </w:tcPr>
          <w:p>
            <w:pPr>
              <w:pStyle w:val="Compact"/>
              <w:spacing w:after="60" w:line="240" w:lineRule="auto"/>
              <w:jc w:val="left"/>
            </w:pPr>
            <m:oMath>
              <m:r>
                <m:t>q</m:t>
              </m:r>
            </m:oMath>
            <w:r>
              <w:rPr>
                <w:rFonts w:ascii="Carlito" w:hAnsi="Carlito"/>
                <w:b/>
                <w:sz w:val="17"/>
              </w:rPr>
              <w:t xml:space="preserve"> </w:t>
            </w:r>
            <w:r>
              <w:rPr>
                <w:rFonts w:ascii="Carlito" w:hAnsi="Carlito"/>
                <w:b/>
                <w:sz w:val="17"/>
              </w:rPr>
              <w:t xml:space="preserve">classes, exact</w:t>
            </w:r>
          </w:p>
        </w:tc>
        <w:tc>
          <w:tcPr>
            <w:shd w:fill="EAF0F4"/>
            <w:tcW w:type="dxa" w:w="1376"/>
            <w:vAlign w:val="top"/>
          </w:tcPr>
          <w:p>
            <w:pPr>
              <w:pStyle w:val="Compact"/>
              <w:spacing w:after="60" w:line="240" w:lineRule="auto"/>
              <w:jc w:val="left"/>
            </w:pPr>
            <m:oMath>
              <m:r>
                <m:t>q</m:t>
              </m:r>
            </m:oMath>
            <w:r>
              <w:rPr>
                <w:rFonts w:ascii="Carlito" w:hAnsi="Carlito"/>
                <w:b/>
                <w:sz w:val="17"/>
              </w:rPr>
              <w:t xml:space="preserve"> </w:t>
            </w:r>
            <w:r>
              <w:rPr>
                <w:rFonts w:ascii="Carlito" w:hAnsi="Carlito"/>
                <w:b/>
                <w:sz w:val="17"/>
              </w:rPr>
              <w:t xml:space="preserve">classes, Monte Carlo</w:t>
            </w:r>
          </w:p>
        </w:tc>
        <w:tc>
          <w:tcPr>
            <w:shd w:fill="EAF0F4"/>
            <w:tcW w:type="dxa" w:w="1770"/>
            <w:vAlign w:val="top"/>
          </w:tcPr>
          <w:p>
            <w:pPr>
              <w:pStyle w:val="Compact"/>
              <w:spacing w:after="60" w:line="240" w:lineRule="auto"/>
              <w:jc w:val="left"/>
            </w:pPr>
            <w:r>
              <w:rPr>
                <w:rFonts w:ascii="Carlito" w:hAnsi="Carlito"/>
                <w:b/>
                <w:sz w:val="17"/>
              </w:rPr>
              <w:t xml:space="preserve">Ratio</w:t>
            </w:r>
          </w:p>
        </w:tc>
      </w:tr>
      <w:tr>
        <w:trPr>
          <w:cantSplit/>
        </w:trPr>
        <w:tc>
          <w:tcPr>
            <w:tcW w:type="dxa" w:w="983"/>
            <w:vAlign w:val="top"/>
          </w:tcPr>
          <w:p>
            <w:pPr>
              <w:pStyle w:val="Compact"/>
              <w:spacing w:after="60" w:line="240" w:lineRule="auto"/>
              <w:jc w:val="left"/>
            </w:pPr>
            <w:r>
              <w:rPr>
                <w:rFonts w:ascii="Carlito" w:hAnsi="Carlito"/>
                <w:sz w:val="17"/>
              </w:rPr>
              <w:t xml:space="preserve">100</w:t>
            </w:r>
          </w:p>
        </w:tc>
        <w:tc>
          <w:tcPr>
            <w:tcW w:type="dxa" w:w="1376"/>
            <w:vAlign w:val="top"/>
          </w:tcPr>
          <w:p>
            <w:pPr>
              <w:pStyle w:val="Compact"/>
              <w:spacing w:after="60" w:line="240" w:lineRule="auto"/>
              <w:jc w:val="left"/>
            </w:pPr>
            <w:r>
              <w:rPr>
                <w:rFonts w:ascii="Carlito" w:hAnsi="Carlito"/>
                <w:sz w:val="17"/>
              </w:rPr>
              <w:t xml:space="preserve">10</w:t>
            </w:r>
          </w:p>
        </w:tc>
        <w:tc>
          <w:tcPr>
            <w:tcW w:type="dxa" w:w="1573"/>
            <w:vAlign w:val="top"/>
          </w:tcPr>
          <w:p>
            <w:pPr>
              <w:pStyle w:val="Compact"/>
              <w:spacing w:after="60" w:line="240" w:lineRule="auto"/>
              <w:jc w:val="left"/>
            </w:pPr>
            <w:r>
              <w:rPr>
                <w:rFonts w:ascii="Carlito" w:hAnsi="Carlito"/>
                <w:sz w:val="17"/>
              </w:rPr>
              <w:t xml:space="preserve">1, 1</w:t>
            </w:r>
          </w:p>
        </w:tc>
        <w:tc>
          <w:tcPr>
            <w:tcW w:type="dxa" w:w="1376"/>
            <w:vAlign w:val="top"/>
          </w:tcPr>
          <w:p>
            <w:pPr>
              <w:pStyle w:val="Compact"/>
              <w:spacing w:after="60" w:line="240" w:lineRule="auto"/>
              <w:jc w:val="left"/>
            </w:pPr>
            <w:r>
              <w:rPr>
                <w:rFonts w:ascii="Carlito" w:hAnsi="Carlito"/>
                <w:sz w:val="17"/>
              </w:rPr>
              <w:t xml:space="preserve">0.6695</w:t>
            </w:r>
          </w:p>
        </w:tc>
        <w:tc>
          <w:tcPr>
            <w:tcW w:type="dxa" w:w="1376"/>
            <w:vAlign w:val="top"/>
          </w:tcPr>
          <w:p>
            <w:pPr>
              <w:pStyle w:val="Compact"/>
              <w:spacing w:after="60" w:line="240" w:lineRule="auto"/>
              <w:jc w:val="left"/>
            </w:pPr>
            <w:r>
              <w:rPr>
                <w:rFonts w:ascii="Carlito" w:hAnsi="Carlito"/>
                <w:sz w:val="17"/>
              </w:rPr>
              <w:t xml:space="preserve">0.1000</w:t>
            </w:r>
          </w:p>
        </w:tc>
        <w:tc>
          <w:tcPr>
            <w:tcW w:type="dxa" w:w="1376"/>
            <w:vAlign w:val="top"/>
          </w:tcPr>
          <w:p>
            <w:pPr>
              <w:pStyle w:val="Compact"/>
              <w:spacing w:after="60" w:line="240" w:lineRule="auto"/>
              <w:jc w:val="left"/>
            </w:pPr>
            <w:r>
              <w:rPr>
                <w:rFonts w:ascii="Carlito" w:hAnsi="Carlito"/>
                <w:sz w:val="17"/>
              </w:rPr>
              <w:t xml:space="preserve">0.0989</w:t>
            </w:r>
          </w:p>
        </w:tc>
        <w:tc>
          <w:tcPr>
            <w:tcW w:type="dxa" w:w="1770"/>
            <w:vAlign w:val="top"/>
          </w:tcPr>
          <w:p>
            <w:pPr>
              <w:pStyle w:val="Compact"/>
              <w:spacing w:after="60" w:line="240" w:lineRule="auto"/>
              <w:jc w:val="left"/>
            </w:pPr>
            <w:r>
              <w:rPr>
                <w:rFonts w:ascii="Carlito" w:hAnsi="Carlito"/>
                <w:sz w:val="17"/>
              </w:rPr>
              <w:t xml:space="preserve">6.70</w:t>
            </w:r>
          </w:p>
        </w:tc>
      </w:tr>
      <w:tr>
        <w:trPr>
          <w:cantSplit/>
        </w:trPr>
        <w:tc>
          <w:tcPr>
            <w:tcW w:type="dxa" w:w="983"/>
            <w:vAlign w:val="top"/>
          </w:tcPr>
          <w:p>
            <w:pPr>
              <w:pStyle w:val="Compact"/>
              <w:spacing w:after="60" w:line="240" w:lineRule="auto"/>
              <w:jc w:val="left"/>
            </w:pPr>
            <w:r>
              <w:rPr>
                <w:rFonts w:ascii="Carlito" w:hAnsi="Carlito"/>
                <w:sz w:val="17"/>
              </w:rPr>
              <w:t xml:space="preserve">100</w:t>
            </w:r>
          </w:p>
        </w:tc>
        <w:tc>
          <w:tcPr>
            <w:tcW w:type="dxa" w:w="1376"/>
            <w:vAlign w:val="top"/>
          </w:tcPr>
          <w:p>
            <w:pPr>
              <w:pStyle w:val="Compact"/>
              <w:spacing w:after="60" w:line="240" w:lineRule="auto"/>
              <w:jc w:val="left"/>
            </w:pPr>
            <w:r>
              <w:rPr>
                <w:rFonts w:ascii="Carlito" w:hAnsi="Carlito"/>
                <w:sz w:val="17"/>
              </w:rPr>
              <w:t xml:space="preserve">10</w:t>
            </w:r>
          </w:p>
        </w:tc>
        <w:tc>
          <w:tcPr>
            <w:tcW w:type="dxa" w:w="1573"/>
            <w:vAlign w:val="top"/>
          </w:tcPr>
          <w:p>
            <w:pPr>
              <w:pStyle w:val="Compact"/>
              <w:spacing w:after="60" w:line="240" w:lineRule="auto"/>
              <w:jc w:val="left"/>
            </w:pPr>
            <w:r>
              <w:rPr>
                <w:rFonts w:ascii="Carlito" w:hAnsi="Carlito"/>
                <w:sz w:val="17"/>
              </w:rPr>
              <w:t xml:space="preserve">2, 2</w:t>
            </w:r>
          </w:p>
        </w:tc>
        <w:tc>
          <w:tcPr>
            <w:tcW w:type="dxa" w:w="1376"/>
            <w:vAlign w:val="top"/>
          </w:tcPr>
          <w:p>
            <w:pPr>
              <w:pStyle w:val="Compact"/>
              <w:spacing w:after="60" w:line="240" w:lineRule="auto"/>
              <w:jc w:val="left"/>
            </w:pPr>
            <w:r>
              <w:rPr>
                <w:rFonts w:ascii="Carlito" w:hAnsi="Carlito"/>
                <w:sz w:val="17"/>
              </w:rPr>
              <w:t xml:space="preserve">0.9934</w:t>
            </w:r>
          </w:p>
        </w:tc>
        <w:tc>
          <w:tcPr>
            <w:tcW w:type="dxa" w:w="1376"/>
            <w:vAlign w:val="top"/>
          </w:tcPr>
          <w:p>
            <w:pPr>
              <w:pStyle w:val="Compact"/>
              <w:spacing w:after="60" w:line="240" w:lineRule="auto"/>
              <w:jc w:val="left"/>
            </w:pPr>
            <w:r>
              <w:rPr>
                <w:rFonts w:ascii="Carlito" w:hAnsi="Carlito"/>
                <w:sz w:val="17"/>
              </w:rPr>
              <w:t xml:space="preserve">0.3778</w:t>
            </w:r>
          </w:p>
        </w:tc>
        <w:tc>
          <w:tcPr>
            <w:tcW w:type="dxa" w:w="1376"/>
            <w:vAlign w:val="top"/>
          </w:tcPr>
          <w:p>
            <w:pPr>
              <w:pStyle w:val="Compact"/>
              <w:spacing w:after="60" w:line="240" w:lineRule="auto"/>
              <w:jc w:val="left"/>
            </w:pPr>
            <w:r>
              <w:rPr>
                <w:rFonts w:ascii="Carlito" w:hAnsi="Carlito"/>
                <w:sz w:val="17"/>
              </w:rPr>
              <w:t xml:space="preserve">0.3765</w:t>
            </w:r>
          </w:p>
        </w:tc>
        <w:tc>
          <w:tcPr>
            <w:tcW w:type="dxa" w:w="1770"/>
            <w:vAlign w:val="top"/>
          </w:tcPr>
          <w:p>
            <w:pPr>
              <w:pStyle w:val="Compact"/>
              <w:spacing w:after="60" w:line="240" w:lineRule="auto"/>
              <w:jc w:val="left"/>
            </w:pPr>
            <w:r>
              <w:rPr>
                <w:rFonts w:ascii="Carlito" w:hAnsi="Carlito"/>
                <w:sz w:val="17"/>
              </w:rPr>
              <w:t xml:space="preserve">2.63</w:t>
            </w:r>
          </w:p>
        </w:tc>
      </w:tr>
      <w:tr>
        <w:trPr>
          <w:cantSplit/>
        </w:trPr>
        <w:tc>
          <w:tcPr>
            <w:tcW w:type="dxa" w:w="983"/>
            <w:vAlign w:val="top"/>
          </w:tcPr>
          <w:p>
            <w:pPr>
              <w:pStyle w:val="Compact"/>
              <w:spacing w:after="60" w:line="240" w:lineRule="auto"/>
              <w:jc w:val="left"/>
            </w:pPr>
            <w:r>
              <w:rPr>
                <w:rFonts w:ascii="Carlito" w:hAnsi="Carlito"/>
                <w:sz w:val="17"/>
              </w:rPr>
              <w:t xml:space="preserve">100</w:t>
            </w:r>
          </w:p>
        </w:tc>
        <w:tc>
          <w:tcPr>
            <w:tcW w:type="dxa" w:w="1376"/>
            <w:vAlign w:val="top"/>
          </w:tcPr>
          <w:p>
            <w:pPr>
              <w:pStyle w:val="Compact"/>
              <w:spacing w:after="60" w:line="240" w:lineRule="auto"/>
              <w:jc w:val="left"/>
            </w:pPr>
            <w:r>
              <w:rPr>
                <w:rFonts w:ascii="Carlito" w:hAnsi="Carlito"/>
                <w:sz w:val="17"/>
              </w:rPr>
              <w:t xml:space="preserve">20</w:t>
            </w:r>
          </w:p>
        </w:tc>
        <w:tc>
          <w:tcPr>
            <w:tcW w:type="dxa" w:w="1573"/>
            <w:vAlign w:val="top"/>
          </w:tcPr>
          <w:p>
            <w:pPr>
              <w:pStyle w:val="Compact"/>
              <w:spacing w:after="60" w:line="240" w:lineRule="auto"/>
              <w:jc w:val="left"/>
            </w:pPr>
            <w:r>
              <w:rPr>
                <w:rFonts w:ascii="Carlito" w:hAnsi="Carlito"/>
                <w:sz w:val="17"/>
              </w:rPr>
              <w:t xml:space="preserve">1, 3</w:t>
            </w:r>
          </w:p>
        </w:tc>
        <w:tc>
          <w:tcPr>
            <w:tcW w:type="dxa" w:w="1376"/>
            <w:vAlign w:val="top"/>
          </w:tcPr>
          <w:p>
            <w:pPr>
              <w:pStyle w:val="Compact"/>
              <w:spacing w:after="60" w:line="240" w:lineRule="auto"/>
              <w:jc w:val="left"/>
            </w:pPr>
            <w:r>
              <w:rPr>
                <w:rFonts w:ascii="Carlito" w:hAnsi="Carlito"/>
                <w:sz w:val="17"/>
              </w:rPr>
              <w:t xml:space="preserve">0.5643</w:t>
            </w:r>
          </w:p>
        </w:tc>
        <w:tc>
          <w:tcPr>
            <w:tcW w:type="dxa" w:w="1376"/>
            <w:vAlign w:val="top"/>
          </w:tcPr>
          <w:p>
            <w:pPr>
              <w:pStyle w:val="Compact"/>
              <w:spacing w:after="60" w:line="240" w:lineRule="auto"/>
              <w:jc w:val="left"/>
            </w:pPr>
            <w:r>
              <w:rPr>
                <w:rFonts w:ascii="Carlito" w:hAnsi="Carlito"/>
                <w:sz w:val="17"/>
              </w:rPr>
              <w:t xml:space="preserve">0.1500</w:t>
            </w:r>
          </w:p>
        </w:tc>
        <w:tc>
          <w:tcPr>
            <w:tcW w:type="dxa" w:w="1376"/>
            <w:vAlign w:val="top"/>
          </w:tcPr>
          <w:p>
            <w:pPr>
              <w:pStyle w:val="Compact"/>
              <w:spacing w:after="60" w:line="240" w:lineRule="auto"/>
              <w:jc w:val="left"/>
            </w:pPr>
            <w:r>
              <w:rPr>
                <w:rFonts w:ascii="Carlito" w:hAnsi="Carlito"/>
                <w:sz w:val="17"/>
              </w:rPr>
              <w:t xml:space="preserve">0.1504</w:t>
            </w:r>
          </w:p>
        </w:tc>
        <w:tc>
          <w:tcPr>
            <w:tcW w:type="dxa" w:w="1770"/>
            <w:vAlign w:val="top"/>
          </w:tcPr>
          <w:p>
            <w:pPr>
              <w:pStyle w:val="Compact"/>
              <w:spacing w:after="60" w:line="240" w:lineRule="auto"/>
              <w:jc w:val="left"/>
            </w:pPr>
            <w:r>
              <w:rPr>
                <w:rFonts w:ascii="Carlito" w:hAnsi="Carlito"/>
                <w:sz w:val="17"/>
              </w:rPr>
              <w:t xml:space="preserve">3.76</w:t>
            </w:r>
          </w:p>
        </w:tc>
      </w:tr>
      <w:tr>
        <w:trPr>
          <w:cantSplit/>
        </w:trPr>
        <w:tc>
          <w:tcPr>
            <w:tcW w:type="dxa" w:w="983"/>
            <w:vAlign w:val="top"/>
          </w:tcPr>
          <w:p>
            <w:pPr>
              <w:pStyle w:val="Compact"/>
              <w:spacing w:after="60" w:line="240" w:lineRule="auto"/>
              <w:jc w:val="left"/>
            </w:pPr>
            <w:r>
              <w:rPr>
                <w:rFonts w:ascii="Carlito" w:hAnsi="Carlito"/>
                <w:sz w:val="17"/>
              </w:rPr>
              <w:t xml:space="preserve">60</w:t>
            </w:r>
          </w:p>
        </w:tc>
        <w:tc>
          <w:tcPr>
            <w:tcW w:type="dxa" w:w="1376"/>
            <w:vAlign w:val="top"/>
          </w:tcPr>
          <w:p>
            <w:pPr>
              <w:pStyle w:val="Compact"/>
              <w:spacing w:after="60" w:line="240" w:lineRule="auto"/>
              <w:jc w:val="left"/>
            </w:pPr>
            <w:r>
              <w:rPr>
                <w:rFonts w:ascii="Carlito" w:hAnsi="Carlito"/>
                <w:sz w:val="17"/>
              </w:rPr>
              <w:t xml:space="preserve">6</w:t>
            </w:r>
          </w:p>
        </w:tc>
        <w:tc>
          <w:tcPr>
            <w:tcW w:type="dxa" w:w="1573"/>
            <w:vAlign w:val="top"/>
          </w:tcPr>
          <w:p>
            <w:pPr>
              <w:pStyle w:val="Compact"/>
              <w:spacing w:after="60" w:line="240" w:lineRule="auto"/>
              <w:jc w:val="left"/>
            </w:pPr>
            <w:r>
              <w:rPr>
                <w:rFonts w:ascii="Carlito" w:hAnsi="Carlito"/>
                <w:sz w:val="17"/>
              </w:rPr>
              <w:t xml:space="preserve">1, 2</w:t>
            </w:r>
          </w:p>
        </w:tc>
        <w:tc>
          <w:tcPr>
            <w:tcW w:type="dxa" w:w="1376"/>
            <w:vAlign w:val="top"/>
          </w:tcPr>
          <w:p>
            <w:pPr>
              <w:pStyle w:val="Compact"/>
              <w:spacing w:after="60" w:line="240" w:lineRule="auto"/>
              <w:jc w:val="left"/>
            </w:pPr>
            <w:r>
              <w:rPr>
                <w:rFonts w:ascii="Carlito" w:hAnsi="Carlito"/>
                <w:sz w:val="17"/>
              </w:rPr>
              <w:t xml:space="preserve">0.9888</w:t>
            </w:r>
          </w:p>
        </w:tc>
        <w:tc>
          <w:tcPr>
            <w:tcW w:type="dxa" w:w="1376"/>
            <w:vAlign w:val="top"/>
          </w:tcPr>
          <w:p>
            <w:pPr>
              <w:pStyle w:val="Compact"/>
              <w:spacing w:after="60" w:line="240" w:lineRule="auto"/>
              <w:jc w:val="left"/>
            </w:pPr>
            <w:r>
              <w:rPr>
                <w:rFonts w:ascii="Carlito" w:hAnsi="Carlito"/>
                <w:sz w:val="17"/>
              </w:rPr>
              <w:t xml:space="preserve">0.3333</w:t>
            </w:r>
          </w:p>
        </w:tc>
        <w:tc>
          <w:tcPr>
            <w:tcW w:type="dxa" w:w="1376"/>
            <w:vAlign w:val="top"/>
          </w:tcPr>
          <w:p>
            <w:pPr>
              <w:pStyle w:val="Compact"/>
              <w:spacing w:after="60" w:line="240" w:lineRule="auto"/>
              <w:jc w:val="left"/>
            </w:pPr>
            <w:r>
              <w:rPr>
                <w:rFonts w:ascii="Carlito" w:hAnsi="Carlito"/>
                <w:sz w:val="17"/>
              </w:rPr>
              <w:t xml:space="preserve">0.3316</w:t>
            </w:r>
          </w:p>
        </w:tc>
        <w:tc>
          <w:tcPr>
            <w:tcW w:type="dxa" w:w="1770"/>
            <w:vAlign w:val="top"/>
          </w:tcPr>
          <w:p>
            <w:pPr>
              <w:pStyle w:val="Compact"/>
              <w:spacing w:after="60" w:line="240" w:lineRule="auto"/>
              <w:jc w:val="left"/>
            </w:pPr>
            <w:r>
              <w:rPr>
                <w:rFonts w:ascii="Carlito" w:hAnsi="Carlito"/>
                <w:sz w:val="17"/>
              </w:rPr>
              <w:t xml:space="preserve">2.97</w:t>
            </w:r>
          </w:p>
        </w:tc>
      </w:tr>
    </w:tbl>
    <w:p>
      <w:pPr>
        <w:pStyle w:val="BodyText"/>
      </w:pPr>
      <w:r>
        <w:rPr>
          <w:b/>
          <w:bCs/>
        </w:rPr>
        <w:t xml:space="preserve">Shared frames (anti-conservative).</w:t>
      </w:r>
      <w:r>
        <w:t xml:space="preserve"> </w:t>
      </w:r>
      <w:r>
        <w:t xml:space="preserve">In a recording-friendly shared-frame calibration, one candidate can be special by construction: it is both the most local and the only one hosting qualifying records. Exchangeability fails in the opposite direction. The baseline is small while the event is certain. For the two weak-internal-coupling shared-frame cells in Supplement Table S4, this gives</w:t>
      </w:r>
      <w:r>
        <w:t xml:space="preserve"> </w:t>
      </w:r>
      <m:oMath>
        <m:r>
          <m:t>A</m:t>
        </m:r>
        <m:r>
          <m:rPr>
            <m:sty m:val="p"/>
          </m:rPr>
          <m:t>=</m:t>
        </m:r>
        <m:r>
          <m:t>1.00</m:t>
        </m:r>
      </m:oMath>
      <w:r>
        <w:t xml:space="preserve"> </w:t>
      </w:r>
      <w:r>
        <w:t xml:space="preserve">against</w:t>
      </w:r>
      <w:r>
        <w:t xml:space="preserve"> </w:t>
      </w:r>
      <m:oMath>
        <m:r>
          <m:t>q</m:t>
        </m:r>
        <m:r>
          <m:rPr>
            <m:sty m:val="p"/>
          </m:rPr>
          <m:t>=</m:t>
        </m:r>
        <m:r>
          <m:t>0.05</m:t>
        </m:r>
      </m:oMath>
      <w:r>
        <w:t xml:space="preserve"> </w:t>
      </w:r>
      <w:r>
        <w:t xml:space="preserve">in every sampled model. It is not a guarantee for the stronger-coupling cell or every shared-frame model.</w:t>
      </w:r>
    </w:p>
    <w:p>
      <w:pPr>
        <w:pStyle w:val="BodyText"/>
      </w:pPr>
      <w:r>
        <w:rPr>
          <w:b/>
          <w:bCs/>
        </w:rPr>
        <w:t xml:space="preserve">Adaptive choices.</w:t>
      </w:r>
      <w:r>
        <w:t xml:space="preserve"> </w:t>
      </w:r>
      <w:r>
        <w:t xml:space="preserve">Tolerances</w:t>
      </w:r>
      <w:r>
        <w:t xml:space="preserve"> </w:t>
      </w:r>
      <m:oMath>
        <m:sSub>
          <m:e>
            <m:r>
              <m:t>ϵ</m:t>
            </m:r>
          </m:e>
          <m:sub>
            <m:r>
              <m:t>L</m:t>
            </m:r>
          </m:sub>
        </m:sSub>
        <m:r>
          <m:rPr>
            <m:sty m:val="p"/>
          </m:rPr>
          <m:t>,</m:t>
        </m:r>
        <m:sSub>
          <m:e>
            <m:r>
              <m:t>ϵ</m:t>
            </m:r>
          </m:e>
          <m:sub>
            <m:r>
              <m:t>R</m:t>
            </m:r>
          </m:sub>
        </m:sSub>
      </m:oMath>
      <w:r>
        <w:t xml:space="preserve">, thresholds</w:t>
      </w:r>
      <w:r>
        <w:t xml:space="preserve"> </w:t>
      </w:r>
      <m:oMath>
        <m:sSub>
          <m:e>
            <m:r>
              <m:t>τ</m:t>
            </m:r>
          </m:e>
          <m:sub>
            <m:r>
              <m:t>L</m:t>
            </m:r>
          </m:sub>
        </m:sSub>
        <m:r>
          <m:rPr>
            <m:sty m:val="p"/>
          </m:rPr>
          <m:t>,</m:t>
        </m:r>
        <m:sSub>
          <m:e>
            <m:r>
              <m:t>τ</m:t>
            </m:r>
          </m:e>
          <m:sub>
            <m:r>
              <m:t>R</m:t>
            </m:r>
          </m:sub>
        </m:sSub>
      </m:oMath>
      <w:r>
        <w:t xml:space="preserve"> </w:t>
      </w:r>
      <w:r>
        <w:t xml:space="preserve">and the margin</w:t>
      </w:r>
      <w:r>
        <w:t xml:space="preserve"> </w:t>
      </w:r>
      <m:oMath>
        <m:r>
          <m:t>Δ</m:t>
        </m:r>
      </m:oMath>
      <w:r>
        <w:t xml:space="preserve"> </w:t>
      </w:r>
      <w:r>
        <w:t xml:space="preserve">chosen after scores are seen invalidate both the baseline and the interval below. They must be frozen in</w:t>
      </w:r>
      <w:r>
        <w:t xml:space="preserve"> </w:t>
      </w:r>
      <m:oMath>
        <m:r>
          <m:t>Θ</m:t>
        </m:r>
      </m:oMath>
      <w:r>
        <w:t xml:space="preserve">.</w:t>
      </w:r>
    </w:p>
    <w:bookmarkEnd w:id="43"/>
    <w:bookmarkStart w:id="44" w:name="interval-and-decision-rule"/>
    <w:p>
      <w:pPr>
        <w:pStyle w:val="Heading2"/>
      </w:pPr>
      <w:r>
        <w:t xml:space="preserve">5.4 Interval and decision rule</w:t>
      </w:r>
    </w:p>
    <w:p>
      <w:pPr>
        <w:pStyle w:val="FirstParagraph"/>
      </w:pPr>
      <w:r>
        <w:t xml:space="preserve">With</w:t>
      </w:r>
      <w:r>
        <w:t xml:space="preserve"> </w:t>
      </w:r>
      <m:oMath>
        <m:r>
          <m:t>n</m:t>
        </m:r>
      </m:oMath>
      <w:r>
        <w:t xml:space="preserve"> </w:t>
      </w:r>
      <w:r>
        <w:t xml:space="preserve">independent units,</w:t>
      </w:r>
      <w:r>
        <w:t xml:space="preserve"> </w:t>
      </w:r>
      <m:oMath>
        <m:sSub>
          <m:e>
            <m:r>
              <m:t>Y</m:t>
            </m:r>
          </m:e>
          <m:sub>
            <m:r>
              <m:t>i</m:t>
            </m:r>
          </m:sub>
        </m:sSub>
        <m:r>
          <m:rPr>
            <m:sty m:val="p"/>
          </m:rPr>
          <m:t>=</m:t>
        </m:r>
        <m:sSub>
          <m:e>
            <m:r>
              <m:t>A</m:t>
            </m:r>
          </m:e>
          <m:sub>
            <m:r>
              <m:t>i</m:t>
            </m:r>
          </m:sub>
        </m:sSub>
        <m:r>
          <m:rPr>
            <m:sty m:val="p"/>
          </m:rPr>
          <m:t>−</m:t>
        </m:r>
        <m:sSub>
          <m:e>
            <m:r>
              <m:t>q</m:t>
            </m:r>
          </m:e>
          <m:sub>
            <m:r>
              <m:t>i</m:t>
            </m:r>
          </m:sub>
        </m:sSub>
        <m:r>
          <m:rPr>
            <m:sty m:val="p"/>
          </m:rPr>
          <m:t>∈</m:t>
        </m:r>
        <m:r>
          <m:rPr>
            <m:sty m:val="p"/>
          </m:rPr>
          <m:t>[</m:t>
        </m:r>
        <m:r>
          <m:rPr>
            <m:sty m:val="p"/>
          </m:rPr>
          <m:t>−</m:t>
        </m:r>
        <m:r>
          <m:t>1</m:t>
        </m:r>
        <m:r>
          <m:rPr>
            <m:sty m:val="p"/>
          </m:rPr>
          <m:t>,</m:t>
        </m:r>
        <m:r>
          <m:t> </m:t>
        </m:r>
        <m:r>
          <m:t>1</m:t>
        </m:r>
        <m:r>
          <m:rPr>
            <m:sty m:val="p"/>
          </m:rPr>
          <m:t>−</m:t>
        </m:r>
        <m:r>
          <m:t>1</m:t>
        </m:r>
        <m:r>
          <m:rPr>
            <m:sty m:val="p"/>
          </m:rPr>
          <m:t>/</m:t>
        </m:r>
        <m:r>
          <m:t>N</m:t>
        </m:r>
        <m:r>
          <m:rPr>
            <m:sty m:val="p"/>
          </m:rPr>
          <m:t>]</m:t>
        </m:r>
      </m:oMath>
      <w:r>
        <w:t xml:space="preserve">. Using the a priori range of width 2, Hoeffding’s inequality [Hoeffding 1963] gives the two-sided</w:t>
      </w:r>
      <w:r>
        <w:t xml:space="preserve"> </w:t>
      </w:r>
      <m:oMath>
        <m:r>
          <m:t>1</m:t>
        </m:r>
        <m:r>
          <m:rPr>
            <m:sty m:val="p"/>
          </m:rPr>
          <m:t>−</m:t>
        </m:r>
        <m:r>
          <m:t>α</m:t>
        </m:r>
      </m:oMath>
      <w:r>
        <w:t xml:space="preserve"> </w:t>
      </w:r>
      <w:r>
        <w:t xml:space="preserve">half-width</w:t>
      </w:r>
    </w:p>
    <w:p>
      <w:pPr>
        <w:pStyle w:val="BodyText"/>
      </w:pPr>
      <m:oMathPara>
        <m:oMathParaPr>
          <m:jc m:val="center"/>
        </m:oMathParaPr>
        <m:oMath>
          <m:r>
            <m:t>h</m:t>
          </m:r>
          <m:r>
            <m:rPr>
              <m:sty m:val="p"/>
            </m:rPr>
            <m:t>=</m:t>
          </m:r>
          <m:rad>
            <m:radPr>
              <m:degHide m:val="on"/>
            </m:radPr>
            <m:deg/>
            <m:e>
              <m:r>
                <m:t>2</m:t>
              </m:r>
              <m:r>
                <m:rPr>
                  <m:sty m:val="p"/>
                  <m:nor m:val="1"/>
                </m:rPr>
                <w:rPr>
                  <w:i w:val="0"/>
                </w:rPr>
                <m:t>ln</m:t>
              </m:r>
              <m:r>
                <m:rPr>
                  <m:sty m:val="p"/>
                </m:rPr>
                <m:t>(</m:t>
              </m:r>
              <m:r>
                <m:t>2</m:t>
              </m:r>
              <m:r>
                <m:rPr>
                  <m:sty m:val="p"/>
                </m:rPr>
                <m:t>/</m:t>
              </m:r>
              <m:r>
                <m:t>α</m:t>
              </m:r>
              <m:r>
                <m:rPr>
                  <m:sty m:val="p"/>
                </m:rPr>
                <m:t>)</m:t>
              </m:r>
              <m:r>
                <m:rPr>
                  <m:sty m:val="p"/>
                </m:rPr>
                <m:t>/</m:t>
              </m:r>
              <m:r>
                <m:t>n</m:t>
              </m:r>
            </m:e>
          </m:rad>
          <m:r>
            <m:rPr>
              <m:sty m:val="p"/>
            </m:rPr>
            <m:t>,</m:t>
          </m:r>
        </m:oMath>
      </m:oMathPara>
    </w:p>
    <w:p>
      <w:pPr>
        <w:pStyle w:val="FirstParagraph"/>
      </w:pPr>
      <w:r>
        <w:t xml:space="preserve">and the interval</w:t>
      </w:r>
      <w:r>
        <w:t xml:space="preserve"> </w:t>
      </w:r>
      <m:oMath>
        <m:r>
          <m:rPr>
            <m:sty m:val="p"/>
          </m:rPr>
          <m:t>[</m:t>
        </m:r>
        <m:acc>
          <m:accPr>
            <m:chr m:val="‾"/>
          </m:accPr>
          <m:e>
            <m:r>
              <m:t>Y</m:t>
            </m:r>
          </m:e>
        </m:acc>
        <m:r>
          <m:rPr>
            <m:sty m:val="p"/>
          </m:rPr>
          <m:t>−</m:t>
        </m:r>
        <m:r>
          <m:t>h</m:t>
        </m:r>
        <m:r>
          <m:rPr>
            <m:sty m:val="p"/>
          </m:rPr>
          <m:t>,</m:t>
        </m:r>
        <m:r>
          <m:t> </m:t>
        </m:r>
        <m:r>
          <m:rPr>
            <m:sty m:val="p"/>
            <m:nor m:val="1"/>
          </m:rPr>
          <w:rPr>
            <w:i w:val="0"/>
          </w:rPr>
          <m:t>min</m:t>
        </m:r>
        <m:r>
          <m:rPr>
            <m:sty m:val="p"/>
          </m:rPr>
          <m:t>(</m:t>
        </m:r>
        <m:acc>
          <m:accPr>
            <m:chr m:val="‾"/>
          </m:accPr>
          <m:e>
            <m:r>
              <m:t>Y</m:t>
            </m:r>
          </m:e>
        </m:acc>
        <m:r>
          <m:rPr>
            <m:sty m:val="p"/>
          </m:rPr>
          <m:t>+</m:t>
        </m:r>
        <m:r>
          <m:t>h</m:t>
        </m:r>
        <m:r>
          <m:rPr>
            <m:sty m:val="p"/>
          </m:rPr>
          <m:t>,</m:t>
        </m:r>
        <m:r>
          <m:t>1</m:t>
        </m:r>
        <m:r>
          <m:rPr>
            <m:sty m:val="p"/>
          </m:rPr>
          <m:t>−</m:t>
        </m:r>
        <m:r>
          <m:t>1</m:t>
        </m:r>
        <m:r>
          <m:rPr>
            <m:sty m:val="p"/>
          </m:rPr>
          <m:t>/</m:t>
        </m:r>
        <m:r>
          <m:t>N</m:t>
        </m:r>
        <m:r>
          <m:rPr>
            <m:sty m:val="p"/>
          </m:rPr>
          <m:t>)</m:t>
        </m:r>
        <m:r>
          <m:rPr>
            <m:sty m:val="p"/>
          </m:rPr>
          <m:t>]</m:t>
        </m:r>
      </m:oMath>
      <w:r>
        <w:t xml:space="preserve">. At</w:t>
      </w:r>
      <w:r>
        <w:t xml:space="preserve"> </w:t>
      </w:r>
      <m:oMath>
        <m:r>
          <m:t>α</m:t>
        </m:r>
        <m:r>
          <m:rPr>
            <m:sty m:val="p"/>
          </m:rPr>
          <m:t>=</m:t>
        </m:r>
        <m:r>
          <m:t>0.05</m:t>
        </m:r>
      </m:oMath>
      <w:r>
        <w:t xml:space="preserve"> </w:t>
      </w:r>
      <w:r>
        <w:t xml:space="preserve">the half-width is</w:t>
      </w:r>
      <w:r>
        <w:t xml:space="preserve"> </w:t>
      </w:r>
      <m:oMath>
        <m:r>
          <m:t>0.200</m:t>
        </m:r>
      </m:oMath>
      <w:r>
        <w:t xml:space="preserve">,</w:t>
      </w:r>
      <w:r>
        <w:t xml:space="preserve"> </w:t>
      </w:r>
      <m:oMath>
        <m:r>
          <m:t>0.100</m:t>
        </m:r>
      </m:oMath>
      <w:r>
        <w:t xml:space="preserve"> </w:t>
      </w:r>
      <w:r>
        <w:t xml:space="preserve">and</w:t>
      </w:r>
      <w:r>
        <w:t xml:space="preserve"> </w:t>
      </w:r>
      <m:oMath>
        <m:r>
          <m:t>0.050</m:t>
        </m:r>
      </m:oMath>
      <w:r>
        <w:t xml:space="preserve"> </w:t>
      </w:r>
      <w:r>
        <w:t xml:space="preserve">for</w:t>
      </w:r>
      <w:r>
        <w:t xml:space="preserve"> </w:t>
      </w:r>
      <m:oMath>
        <m:r>
          <m:t>n</m:t>
        </m:r>
        <m:r>
          <m:rPr>
            <m:sty m:val="p"/>
          </m:rPr>
          <m:t>=</m:t>
        </m:r>
        <m:r>
          <m:t>185</m:t>
        </m:r>
      </m:oMath>
      <w:r>
        <w:t xml:space="preserve">,</w:t>
      </w:r>
      <w:r>
        <w:t xml:space="preserve"> </w:t>
      </w:r>
      <m:oMath>
        <m:r>
          <m:t>738</m:t>
        </m:r>
      </m:oMath>
      <w:r>
        <w:t xml:space="preserve"> </w:t>
      </w:r>
      <w:r>
        <w:t xml:space="preserve">and</w:t>
      </w:r>
      <w:r>
        <w:t xml:space="preserve"> </w:t>
      </w:r>
      <m:oMath>
        <m:r>
          <m:t>2952</m:t>
        </m:r>
      </m:oMath>
      <w:r>
        <w:t xml:space="preserve">. With a margin</w:t>
      </w:r>
      <w:r>
        <w:t xml:space="preserve"> </w:t>
      </w:r>
      <m:oMath>
        <m:r>
          <m:t>Δ</m:t>
        </m:r>
        <m:r>
          <m:rPr>
            <m:sty m:val="p"/>
          </m:rPr>
          <m:t>&gt;</m:t>
        </m:r>
        <m:r>
          <m:t>0</m:t>
        </m:r>
      </m:oMath>
      <w:r>
        <w:t xml:space="preserve"> </w:t>
      </w:r>
      <w:r>
        <w:t xml:space="preserve">fixed in</w:t>
      </w:r>
      <w:r>
        <w:t xml:space="preserve"> </w:t>
      </w:r>
      <m:oMath>
        <m:r>
          <m:t>Θ</m:t>
        </m:r>
      </m:oMath>
      <w:r>
        <w:t xml:space="preserve"> </w:t>
      </w:r>
      <w:r>
        <w:t xml:space="preserve">and interval</w:t>
      </w:r>
      <w:r>
        <w:t xml:space="preserve"> </w:t>
      </w:r>
      <m:oMath>
        <m:r>
          <m:rPr>
            <m:sty m:val="p"/>
          </m:rPr>
          <m:t>[</m:t>
        </m:r>
        <m:sSub>
          <m:e>
            <m:r>
              <m:t>L</m:t>
            </m:r>
          </m:e>
          <m:sub>
            <m:r>
              <m:t>α</m:t>
            </m:r>
          </m:sub>
        </m:sSub>
        <m:r>
          <m:rPr>
            <m:sty m:val="p"/>
          </m:rPr>
          <m:t>,</m:t>
        </m:r>
        <m:sSub>
          <m:e>
            <m:r>
              <m:t>U</m:t>
            </m:r>
          </m:e>
          <m:sub>
            <m:r>
              <m:t>α</m:t>
            </m:r>
          </m:sub>
        </m:sSub>
        <m:r>
          <m:rPr>
            <m:sty m:val="p"/>
          </m:rPr>
          <m:t>]</m:t>
        </m:r>
      </m:oMath>
      <w:r>
        <w:t xml:space="preserve">: the result supports enrichment if</w:t>
      </w:r>
      <w:r>
        <w:t xml:space="preserve"> </w:t>
      </w:r>
      <m:oMath>
        <m:sSub>
          <m:e>
            <m:r>
              <m:t>L</m:t>
            </m:r>
          </m:e>
          <m:sub>
            <m:r>
              <m:t>α</m:t>
            </m:r>
          </m:sub>
        </m:sSub>
        <m:r>
          <m:rPr>
            <m:sty m:val="p"/>
          </m:rPr>
          <m:t>≥</m:t>
        </m:r>
        <m:r>
          <m:t>Δ</m:t>
        </m:r>
      </m:oMath>
      <w:r>
        <w:t xml:space="preserve">, counts against it if</w:t>
      </w:r>
      <w:r>
        <w:t xml:space="preserve"> </w:t>
      </w:r>
      <m:oMath>
        <m:sSub>
          <m:e>
            <m:r>
              <m:t>U</m:t>
            </m:r>
          </m:e>
          <m:sub>
            <m:r>
              <m:t>α</m:t>
            </m:r>
          </m:sub>
        </m:sSub>
        <m:r>
          <m:rPr>
            <m:sty m:val="p"/>
          </m:rPr>
          <m:t>&lt;</m:t>
        </m:r>
        <m:r>
          <m:t>Δ</m:t>
        </m:r>
      </m:oMath>
      <w:r>
        <w:t xml:space="preserve">, and is inconclusive otherwise. If</w:t>
      </w:r>
      <w:r>
        <w:t xml:space="preserve"> </w:t>
      </w:r>
      <m:oMath>
        <m:sSub>
          <m:e>
            <m:r>
              <m:t>q</m:t>
            </m:r>
          </m:e>
          <m:sub>
            <m:r>
              <m:t>i</m:t>
            </m:r>
          </m:sub>
        </m:sSub>
      </m:oMath>
      <w:r>
        <w:t xml:space="preserve"> </w:t>
      </w:r>
      <w:r>
        <w:t xml:space="preserve">is itself estimated by simulation, its Monte Carlo error must be added. Numerical error in eigen-decompositions and matrix exponentials is recorded separately.</w:t>
      </w:r>
    </w:p>
    <w:bookmarkEnd w:id="44"/>
    <w:bookmarkStart w:id="45" w:name="Xe4c31948fdf5fc68156454ed3cd88e74e07a15b"/>
    <w:p>
      <w:pPr>
        <w:pStyle w:val="Heading2"/>
      </w:pPr>
      <w:r>
        <w:t xml:space="preserve">5.5 Historical alternative: score-profile correlation</w:t>
      </w:r>
    </w:p>
    <w:p>
      <w:pPr>
        <w:pStyle w:val="FirstParagraph"/>
      </w:pPr>
      <w:r>
        <w:t xml:space="preserve">The binary event</w:t>
      </w:r>
      <w:r>
        <w:t xml:space="preserve"> </w:t>
      </w:r>
      <m:oMath>
        <m:r>
          <m:t>A</m:t>
        </m:r>
      </m:oMath>
      <w:r>
        <w:t xml:space="preserve"> </w:t>
      </w:r>
      <w:r>
        <w:t xml:space="preserve">discards most of the information in the two score profiles. A previously proposed secondary analysis was, within each model, the Spearman correlation</w:t>
      </w:r>
      <w:r>
        <w:t xml:space="preserve"> </w:t>
      </w:r>
      <m:oMath>
        <m:sSub>
          <m:e>
            <m:r>
              <m:t>r</m:t>
            </m:r>
          </m:e>
          <m:sub>
            <m:r>
              <m:t>s</m:t>
            </m:r>
          </m:sub>
        </m:sSub>
      </m:oMath>
      <w:r>
        <w:t xml:space="preserve"> </w:t>
      </w:r>
      <w:r>
        <w:t xml:space="preserve">between</w:t>
      </w:r>
      <w:r>
        <w:t xml:space="preserve"> </w:t>
      </w:r>
      <m:oMath>
        <m:r>
          <m:rPr>
            <m:sty m:val="p"/>
          </m:rPr>
          <m:t>−</m:t>
        </m:r>
        <m:r>
          <m:t>L</m:t>
        </m:r>
        <m:r>
          <m:rPr>
            <m:sty m:val="p"/>
          </m:rPr>
          <m:t>(</m:t>
        </m:r>
        <m:r>
          <m:t>D</m:t>
        </m:r>
        <m:r>
          <m:rPr>
            <m:sty m:val="p"/>
          </m:rPr>
          <m:t>)</m:t>
        </m:r>
      </m:oMath>
      <w:r>
        <w:t xml:space="preserve"> </w:t>
      </w:r>
      <w:r>
        <w:t xml:space="preserve">and</w:t>
      </w:r>
      <w:r>
        <w:t xml:space="preserve"> </w:t>
      </w:r>
      <m:oMath>
        <m:r>
          <m:t>R</m:t>
        </m:r>
        <m:r>
          <m:rPr>
            <m:sty m:val="p"/>
          </m:rPr>
          <m:t>(</m:t>
        </m:r>
        <m:r>
          <m:t>D</m:t>
        </m:r>
        <m:r>
          <m:rPr>
            <m:sty m:val="p"/>
          </m:rPr>
          <m:t>)</m:t>
        </m:r>
      </m:oMath>
      <w:r>
        <w:t xml:space="preserve"> </w:t>
      </w:r>
      <w:r>
        <w:t xml:space="preserve">across candidate classes. A within-model permutation of</w:t>
      </w:r>
      <w:r>
        <w:t xml:space="preserve"> </w:t>
      </w:r>
      <m:oMath>
        <m:r>
          <m:t>R</m:t>
        </m:r>
      </m:oMath>
      <w:r>
        <w:t xml:space="preserve"> </w:t>
      </w:r>
      <w:r>
        <w:t xml:space="preserve">across classes gives its null; this is valid only under class exchangeability, with the p-value computed as</w:t>
      </w:r>
      <w:r>
        <w:t xml:space="preserve"> </w:t>
      </w:r>
      <m:oMath>
        <m:r>
          <m:rPr>
            <m:sty m:val="p"/>
          </m:rPr>
          <m:t>(</m:t>
        </m:r>
        <m:r>
          <m:t>b</m:t>
        </m:r>
        <m:r>
          <m:rPr>
            <m:sty m:val="p"/>
          </m:rPr>
          <m:t>+</m:t>
        </m:r>
        <m:r>
          <m:t>1</m:t>
        </m:r>
        <m:r>
          <m:rPr>
            <m:sty m:val="p"/>
          </m:rPr>
          <m:t>)</m:t>
        </m:r>
        <m:r>
          <m:rPr>
            <m:sty m:val="p"/>
          </m:rPr>
          <m:t>/</m:t>
        </m:r>
        <m:r>
          <m:rPr>
            <m:sty m:val="p"/>
          </m:rPr>
          <m:t>(</m:t>
        </m:r>
        <m:r>
          <m:t>m</m:t>
        </m:r>
        <m:r>
          <m:rPr>
            <m:sty m:val="p"/>
          </m:rPr>
          <m:t>+</m:t>
        </m:r>
        <m:r>
          <m:t>1</m:t>
        </m:r>
        <m:r>
          <m:rPr>
            <m:sty m:val="p"/>
          </m:rPr>
          <m:t>)</m:t>
        </m:r>
      </m:oMath>
      <w:r>
        <w:t xml:space="preserve"> </w:t>
      </w:r>
      <w:r>
        <w:t xml:space="preserve">for</w:t>
      </w:r>
      <w:r>
        <w:t xml:space="preserve"> </w:t>
      </w:r>
      <m:oMath>
        <m:r>
          <m:t>b</m:t>
        </m:r>
      </m:oMath>
      <w:r>
        <w:t xml:space="preserve"> </w:t>
      </w:r>
      <w:r>
        <w:t xml:space="preserve">exceedances in</w:t>
      </w:r>
      <w:r>
        <w:t xml:space="preserve"> </w:t>
      </w:r>
      <m:oMath>
        <m:r>
          <m:t>m</m:t>
        </m:r>
      </m:oMath>
      <w:r>
        <w:t xml:space="preserve"> </w:t>
      </w:r>
      <w:r>
        <w:t xml:space="preserve">random permutations [Phipson and Smyth 2010]. Model-level correlations are aggregated by their mean, with a model-level bootstrap interval whose sampling conditions are checked. A sign-flip test additionally requires the relevant sign symmetry or randomisation; independence and a zero mean alone do not supply it. Undefined rank correlations under constant scores are reported, not assigned zero without a rule. That this statistic has more power than (5) is a hypothesis that has not been tested.</w:t>
      </w:r>
    </w:p>
    <w:bookmarkEnd w:id="45"/>
    <w:bookmarkStart w:id="52" w:name="X522f13df96c53de8059353ed0ca8a430d6fe1e5"/>
    <w:p>
      <w:pPr>
        <w:pStyle w:val="Heading2"/>
      </w:pPr>
      <w:r>
        <w:t xml:space="preserve">5.6 Feasibility, complete permutation groups and registration</w:t>
      </w:r>
    </w:p>
    <w:p>
      <w:pPr>
        <w:pStyle w:val="FirstParagraph"/>
      </w:pPr>
      <w:r>
        <w:t xml:space="preserve">Let</w:t>
      </w:r>
      <w:r>
        <w:t xml:space="preserve"> </w:t>
      </w:r>
      <m:oMath>
        <m:r>
          <m:t>e</m:t>
        </m:r>
      </m:oMath>
      <w:r>
        <w:t xml:space="preserve"> </w:t>
      </w:r>
      <w:r>
        <w:t xml:space="preserve">indicate that both absolute-qualified sets exist. Since</w:t>
      </w:r>
      <w:r>
        <w:t xml:space="preserve"> </w:t>
      </w:r>
      <m:oMath>
        <m:r>
          <m:t>0</m:t>
        </m:r>
        <m:r>
          <m:rPr>
            <m:sty m:val="p"/>
          </m:rPr>
          <m:t>≤</m:t>
        </m:r>
        <m:r>
          <m:t>A</m:t>
        </m:r>
        <m:r>
          <m:rPr>
            <m:sty m:val="p"/>
          </m:rPr>
          <m:t>≤</m:t>
        </m:r>
        <m:r>
          <m:t>e</m:t>
        </m:r>
      </m:oMath>
      <w:r>
        <w:t xml:space="preserve"> </w:t>
      </w:r>
      <w:r>
        <w:t xml:space="preserve">and</w:t>
      </w:r>
      <w:r>
        <w:t xml:space="preserve"> </w:t>
      </w:r>
      <m:oMath>
        <m:r>
          <m:t>q</m:t>
        </m:r>
        <m:r>
          <m:rPr>
            <m:sty m:val="p"/>
          </m:rPr>
          <m:t>=</m:t>
        </m:r>
        <m:r>
          <m:t>0</m:t>
        </m:r>
      </m:oMath>
      <w:r>
        <w:t xml:space="preserve"> </w:t>
      </w:r>
      <w:r>
        <w:t xml:space="preserve">on empty-set cases,</w:t>
      </w:r>
    </w:p>
    <w:p>
      <w:pPr>
        <w:pStyle w:val="BodyText"/>
      </w:pPr>
      <m:oMathPara>
        <m:oMathParaPr>
          <m:jc m:val="center"/>
        </m:oMathParaPr>
        <m:oMath>
          <m:r>
            <m:rPr>
              <m:sty m:val="p"/>
            </m:rPr>
            <m:t>−</m:t>
          </m:r>
          <m:r>
            <m:t>q</m:t>
          </m:r>
          <m:r>
            <m:rPr>
              <m:sty m:val="p"/>
            </m:rPr>
            <m:t>≤</m:t>
          </m:r>
          <m:r>
            <m:t>A</m:t>
          </m:r>
          <m:r>
            <m:rPr>
              <m:sty m:val="p"/>
            </m:rPr>
            <m:t>−</m:t>
          </m:r>
          <m:r>
            <m:t>q</m:t>
          </m:r>
          <m:r>
            <m:rPr>
              <m:sty m:val="p"/>
            </m:rPr>
            <m:t>≤</m:t>
          </m:r>
          <m:r>
            <m:t>e</m:t>
          </m:r>
          <m:r>
            <m:rPr>
              <m:sty m:val="p"/>
            </m:rPr>
            <m:t>−</m:t>
          </m:r>
          <m:r>
            <m:t>q</m:t>
          </m:r>
          <m:r>
            <m:rPr>
              <m:sty m:val="p"/>
            </m:rPr>
            <m:t>,</m:t>
          </m:r>
          <m:r>
            <m:t>  </m:t>
          </m:r>
          <m:sSub>
            <m:e>
              <m:r>
                <m:t>d</m:t>
              </m:r>
            </m:e>
            <m:sub>
              <m:r>
                <m:t>Θ</m:t>
              </m:r>
            </m:sub>
          </m:sSub>
          <m:r>
            <m:rPr>
              <m:sty m:val="p"/>
            </m:rPr>
            <m:t>≤</m:t>
          </m:r>
          <m:r>
            <m:rPr>
              <m:sty m:val="p"/>
              <m:scr m:val="double-struck"/>
            </m:rPr>
            <m:t>E</m:t>
          </m:r>
          <m:r>
            <m:rPr>
              <m:sty m:val="p"/>
            </m:rPr>
            <m:t>[</m:t>
          </m:r>
          <m:r>
            <m:t>e</m:t>
          </m:r>
          <m:r>
            <m:rPr>
              <m:sty m:val="p"/>
            </m:rPr>
            <m:t>−</m:t>
          </m:r>
          <m:r>
            <m:t>q</m:t>
          </m:r>
          <m:r>
            <m:rPr>
              <m:sty m:val="p"/>
            </m:rPr>
            <m:t>]</m:t>
          </m:r>
          <m:r>
            <m:rPr>
              <m:sty m:val="p"/>
            </m:rPr>
            <m:t>.</m:t>
          </m:r>
        </m:oMath>
      </m:oMathPara>
    </w:p>
    <w:p>
      <w:pPr>
        <w:pStyle w:val="FirstParagraph"/>
      </w:pPr>
      <w:r>
        <w:t xml:space="preserve">This is a design ceiling, not a power calculation. For the</w:t>
      </w:r>
      <w:r>
        <w:t xml:space="preserve"> </w:t>
      </w:r>
      <m:oMath>
        <m:r>
          <m:t>8</m:t>
        </m:r>
        <m:r>
          <m:rPr>
            <m:sty m:val="p"/>
          </m:rPr>
          <m:t>,</m:t>
        </m:r>
        <m:r>
          <m:t>2</m:t>
        </m:r>
        <m:r>
          <m:rPr>
            <m:sty m:val="p"/>
          </m:rPr>
          <m:t>,</m:t>
        </m:r>
        <m:r>
          <m:t>3</m:t>
        </m:r>
      </m:oMath>
      <w:r>
        <w:t xml:space="preserve"> </w:t>
      </w:r>
      <w:r>
        <w:t xml:space="preserve">example, even perfect overlap yields at most</w:t>
      </w:r>
      <w:r>
        <w:t xml:space="preserve"> </w:t>
      </w:r>
      <m:oMath>
        <m:r>
          <m:t>5</m:t>
        </m:r>
        <m:r>
          <m:rPr>
            <m:sty m:val="p"/>
          </m:rPr>
          <m:t>/</m:t>
        </m:r>
        <m:r>
          <m:t>14</m:t>
        </m:r>
      </m:oMath>
      <w:r>
        <w:t xml:space="preserve"> </w:t>
      </w:r>
      <w:r>
        <w:t xml:space="preserve">per eligible unit. An impossible margin must not be used to manufacture a negative result. No-record units remain in the unconditional population.</w:t>
      </w:r>
    </w:p>
    <w:p>
      <w:pPr>
        <w:pStyle w:val="BodyText"/>
      </w:pPr>
      <w:r>
        <w:rPr>
          <w:b/>
          <w:bCs/>
        </w:rPr>
        <w:t xml:space="preserve">Permutation safeguard.</w:t>
      </w:r>
      <w:r>
        <w:t xml:space="preserve"> </w:t>
      </w:r>
      <w:r>
        <w:t xml:space="preserve">A plus-one formula does not validate an arbitrary collection of rearrangements. In the usual exact permutation argument, transformations form a group under which the conditional null distribution is invariant. Full enumeration uses the fraction of group transformations at least as extreme as the observation, including ties. A Monte Carlo version must use the corresponding valid group sampling scheme [Hemerik and Goeman 2018]. Derangements, which forbid self-pairing, generally do not form such a group.</w:t>
      </w:r>
    </w:p>
    <w:p>
      <w:pPr>
        <w:pStyle w:val="BodyText"/>
      </w:pPr>
      <w:r>
        <w:rPr>
          <w:b/>
          <w:bCs/>
        </w:rPr>
        <w:t xml:space="preserve">Exact counterexample 3.</w:t>
      </w:r>
      <w:r>
        <w:t xml:space="preserve"> </w:t>
      </w:r>
      <w:r>
        <w:t xml:space="preserve">Let both marginal lists be</w:t>
      </w:r>
      <w:r>
        <w:t xml:space="preserve"> </w:t>
      </w:r>
      <m:oMath>
        <m:r>
          <m:rPr>
            <m:sty m:val="p"/>
          </m:rPr>
          <m:t>(</m:t>
        </m:r>
        <m:r>
          <m:t>0</m:t>
        </m:r>
        <m:r>
          <m:rPr>
            <m:sty m:val="p"/>
          </m:rPr>
          <m:t>,</m:t>
        </m:r>
        <m:r>
          <m:t>1</m:t>
        </m:r>
        <m:r>
          <m:rPr>
            <m:sty m:val="p"/>
          </m:rPr>
          <m:t>,</m:t>
        </m:r>
        <m:r>
          <m:t>3</m:t>
        </m:r>
        <m:r>
          <m:rPr>
            <m:sty m:val="p"/>
          </m:rPr>
          <m:t>,</m:t>
        </m:r>
        <m:r>
          <m:t>7</m:t>
        </m:r>
        <m:r>
          <m:rPr>
            <m:sty m:val="p"/>
          </m:rPr>
          <m:t>)</m:t>
        </m:r>
      </m:oMath>
      <w:r>
        <w:t xml:space="preserve"> </w:t>
      </w:r>
      <w:r>
        <w:t xml:space="preserve">and let a null observation be a uniformly random pairing among all 24 permutations. Use the sum of squared matched differences as the lower-tail statistic. For each observation compare it only to the nine relative derangements plus the identity. The resulting rank fraction rejects 6 of the 24 equally likely null observations at a nominal 0.10 cutoff: actual size 0.25. The complete 24-permutation reference rejects 2 of 24, or</w:t>
      </w:r>
      <w:r>
        <w:t xml:space="preserve"> </w:t>
      </w:r>
      <m:oMath>
        <m:r>
          <m:t>1</m:t>
        </m:r>
        <m:r>
          <m:rPr>
            <m:sty m:val="p"/>
          </m:rPr>
          <m:t>/</m:t>
        </m:r>
        <m:r>
          <m:t>12</m:t>
        </m:r>
      </m:oMath>
      <w:r>
        <w:t xml:space="preserve">. This counterexample does not make every derangement-based estimator invalid; it defeats the claimed automatic p-value validity. Its full enumeration is supplied.</w:t>
      </w:r>
    </w:p>
    <w:p>
      <w:pPr>
        <w:pStyle w:val="BodyText"/>
        <w:keepNext/>
        <w:jc w:val="center"/>
      </w:pPr>
      <w:r>
        <w:drawing>
          <wp:inline>
            <wp:extent cx="5334000" cy="2871071"/>
            <wp:effectExtent b="0" l="0" r="0" t="0"/>
            <wp:docPr descr="Exact null rejection probabilities for a full group and a restricted derangement reference." title="" id="47" name="Picture"/>
            <a:graphic>
              <a:graphicData uri="http://schemas.openxmlformats.org/drawingml/2006/picture">
                <pic:pic>
                  <pic:nvPicPr>
                    <pic:cNvPr descr="../figures/permutation_size.png" id="48" name="Picture"/>
                    <pic:cNvPicPr>
                      <a:picLocks noChangeArrowheads="1" noChangeAspect="1"/>
                    </pic:cNvPicPr>
                  </pic:nvPicPr>
                  <pic:blipFill>
                    <a:blip r:embed="rId46"/>
                    <a:stretch>
                      <a:fillRect/>
                    </a:stretch>
                  </pic:blipFill>
                  <pic:spPr bwMode="auto">
                    <a:xfrm>
                      <a:off x="0" y="0"/>
                      <a:ext cx="5334000" cy="2871071"/>
                    </a:xfrm>
                    <a:prstGeom prst="rect">
                      <a:avLst/>
                    </a:prstGeom>
                    <a:noFill/>
                    <a:ln w="9525">
                      <a:noFill/>
                      <a:headEnd/>
                      <a:tailEnd/>
                    </a:ln>
                  </pic:spPr>
                </pic:pic>
              </a:graphicData>
            </a:graphic>
          </wp:inline>
        </w:drawing>
      </w:r>
    </w:p>
    <w:p>
      <w:pPr>
        <w:pStyle w:val="Caption"/>
        <w:spacing w:after="180"/>
      </w:pPr>
      <w:r>
        <w:rPr>
          <w:b/>
          <w:bCs/>
        </w:rPr>
        <w:t xml:space="preserve">Figure 1. A restricted rearrangement rule can break calibration. The curves enumerate all 24 null pairings, not simulated physical worlds. The dotted line is the nominal upper size bound.</w:t>
      </w:r>
    </w:p>
    <w:p>
      <w:pPr>
        <w:pStyle w:val="BodyText"/>
      </w:pPr>
      <w:r>
        <w:rPr>
          <w:b/>
          <w:bCs/>
        </w:rPr>
        <w:t xml:space="preserve">Registration safeguard.</w:t>
      </w:r>
      <w:r>
        <w:t xml:space="preserve"> </w:t>
      </w:r>
      <w:r>
        <w:t xml:space="preserve">Suppose all model optima equal one fixed frame</w:t>
      </w:r>
      <w:r>
        <w:t xml:space="preserve"> </w:t>
      </w:r>
      <m:oMath>
        <m:sSub>
          <m:e>
            <m:r>
              <m:t>D</m:t>
            </m:r>
          </m:e>
          <m:sub>
            <m:r>
              <m:t>0</m:t>
            </m:r>
          </m:sub>
        </m:sSub>
      </m:oMath>
      <w:r>
        <w:t xml:space="preserve">. Matched and mismatched distances are identically zero, so a pairing effect is zero and its p-value is one. This is a recovery control, not an association-positive control. If instead both optima follow a randomly varying supplied orientation, mismatching can give a positive effect without revealing any new dynamical law. Cross-model coordinates need a common operational meaning. Re-expressing each model in its independently supplied frame can remove an apparent effect that only tracked that input.</w:t>
      </w:r>
    </w:p>
    <w:p>
      <w:pPr>
        <w:pStyle w:val="BodyText"/>
        <w:keepNext/>
        <w:jc w:val="center"/>
      </w:pPr>
      <w:r>
        <w:drawing>
          <wp:inline>
            <wp:extent cx="5334000" cy="2791319"/>
            <wp:effectExtent b="0" l="0" r="0" t="0"/>
            <wp:docPr descr="Pairing effects before and after accounting for a supplied common orientation." title="" id="50" name="Picture"/>
            <a:graphic>
              <a:graphicData uri="http://schemas.openxmlformats.org/drawingml/2006/picture">
                <pic:pic>
                  <pic:nvPicPr>
                    <pic:cNvPr descr="../figures/registration_controls.png" id="51" name="Picture"/>
                    <pic:cNvPicPr>
                      <a:picLocks noChangeArrowheads="1" noChangeAspect="1"/>
                    </pic:cNvPicPr>
                  </pic:nvPicPr>
                  <pic:blipFill>
                    <a:blip r:embed="rId49"/>
                    <a:stretch>
                      <a:fillRect/>
                    </a:stretch>
                  </pic:blipFill>
                  <pic:spPr bwMode="auto">
                    <a:xfrm>
                      <a:off x="0" y="0"/>
                      <a:ext cx="5334000" cy="2791319"/>
                    </a:xfrm>
                    <a:prstGeom prst="rect">
                      <a:avLst/>
                    </a:prstGeom>
                    <a:noFill/>
                    <a:ln w="9525">
                      <a:noFill/>
                      <a:headEnd/>
                      <a:tailEnd/>
                    </a:ln>
                  </pic:spPr>
                </pic:pic>
              </a:graphicData>
            </a:graphic>
          </wp:inline>
        </w:drawing>
      </w:r>
    </w:p>
    <w:p>
      <w:pPr>
        <w:pStyle w:val="Caption"/>
        <w:spacing w:after="180"/>
      </w:pPr>
      <w:r>
        <w:rPr>
          <w:b/>
          <w:bCs/>
        </w:rPr>
        <w:t xml:space="preserve">Figure 2. Three exact registration controls. Fixed common frames give zero contrast; differing supplied common orientations give a contrast; registering to those known inputs removes it. This diagnoses the estimand, not an emergent law.</w:t>
      </w:r>
    </w:p>
    <w:bookmarkEnd w:id="52"/>
    <w:bookmarkEnd w:id="53"/>
    <w:bookmarkStart w:id="58" w:name="Xe5cfe1512285f5c645a4de3a14d1fd77dda31de"/>
    <w:p>
      <w:pPr>
        <w:pStyle w:val="Heading1"/>
      </w:pPr>
      <w:r>
        <w:t xml:space="preserve">6. Supplied-structure studies and distinct counterfactuals</w:t>
      </w:r>
    </w:p>
    <w:bookmarkStart w:id="54" w:name="continuously-driven-calibration"/>
    <w:p>
      <w:pPr>
        <w:pStyle w:val="Heading2"/>
      </w:pPr>
      <w:r>
        <w:t xml:space="preserve">6.1 Continuously driven calibration</w:t>
      </w:r>
    </w:p>
    <w:p>
      <w:pPr>
        <w:pStyle w:val="FirstParagraph"/>
      </w:pPr>
      <w:r>
        <w:t xml:space="preserve">A historical three-qubit study used 20 supplied candidates and a time-averaged singleton-count outcome. Its source coupling and observation window were changed after an initial low-record run, so fresh-seed repeats remain exploratory. Shared preparation, coupling and locality inputs facilitated an apparent overlap enrichment of 0.95 in selected cells. When preparation and coupling moved together, records preferentially remained readable in that supplied frame. These are design-sensitive illustrations, not tests of persistent redundancy or a justified chance-overlap null. Supplement Section S2 preserves the full model, development history, tables and interpretations.</w:t>
      </w:r>
    </w:p>
    <w:bookmarkEnd w:id="54"/>
    <w:bookmarkStart w:id="55" w:name="X116ad7969ad9dfe2db09bf449caf95ebc0e270b"/>
    <w:p>
      <w:pPr>
        <w:pStyle w:val="Heading2"/>
      </w:pPr>
      <w:r>
        <w:t xml:space="preserve">6.2 Source-off pilot: change relative to no evolution</w:t>
      </w:r>
    </w:p>
    <w:p>
      <w:pPr>
        <w:pStyle w:val="FirstParagraph"/>
      </w:pPr>
      <w:r>
        <w:t xml:space="preserve">An injection pulse encoded a binary source while internal dynamics were paused. Both source branches then evolved under the same internal Hamiltonian, with the source fully removed. There were 96 independent Hamiltonian/circuit units at each of four and six qubits and two paired injection conditions per unit. The graph, access structures and two comparison frames were supplied. The primary contrast was half the change in the mean singleton trace-distance gap between the native frame L and alternate frame C, averaged over 50 declared positive-time readouts, relative to matched frozen evolution.</w:t>
      </w:r>
    </w:p>
    <w:p>
      <w:pPr>
        <w:pStyle w:val="BodyText"/>
      </w:pPr>
      <w:r>
        <w:t xml:space="preserve">The six-qubit rotated-injection mean was -0.015225, with 28 positive and 68 negative units. The approximate bootstrap 95% interval was [-0.021070, -0.009646]; the predeclared range-only interval was [-0.292446, 0.261996]. The observed effect is negative and the bootstrap supports a negative population mean under its sampling approximation, while the conservative range-only bound does not establish its sign at this sample size. The post hoc sign test gives</w:t>
      </w:r>
      <w:r>
        <w:t xml:space="preserve"> </w:t>
      </w:r>
      <m:oMath>
        <m:r>
          <m:t>p</m:t>
        </m:r>
        <m:r>
          <m:rPr>
            <m:sty m:val="p"/>
          </m:rPr>
          <m:t>=</m:t>
        </m:r>
        <m:r>
          <m:t>5.4592</m:t>
        </m:r>
        <m:r>
          <m:rPr>
            <m:sty m:val="p"/>
          </m:rPr>
          <m:t>×</m:t>
        </m:r>
        <m:sSup>
          <m:e>
            <m:r>
              <m:t>10</m:t>
            </m:r>
          </m:e>
          <m:sup>
            <m:r>
              <m:rPr>
                <m:sty m:val="p"/>
              </m:rPr>
              <m:t>−</m:t>
            </m:r>
            <m:r>
              <m:t>5</m:t>
            </m:r>
          </m:sup>
        </m:sSup>
      </m:oMath>
      <w:r>
        <w:t xml:space="preserve"> </w:t>
      </w:r>
      <w:r>
        <w:t xml:space="preserve">under independent equiprobable nonzero signs; Holm correction across four disclosed conditions gives</w:t>
      </w:r>
      <w:r>
        <w:t xml:space="preserve"> </w:t>
      </w:r>
      <m:oMath>
        <m:r>
          <m:t>p</m:t>
        </m:r>
        <m:r>
          <m:rPr>
            <m:sty m:val="p"/>
          </m:rPr>
          <m:t>=</m:t>
        </m:r>
        <m:r>
          <m:t>1.6377</m:t>
        </m:r>
        <m:r>
          <m:rPr>
            <m:sty m:val="p"/>
          </m:rPr>
          <m:t>×</m:t>
        </m:r>
        <m:sSup>
          <m:e>
            <m:r>
              <m:t>10</m:t>
            </m:r>
          </m:e>
          <m:sup>
            <m:r>
              <m:rPr>
                <m:sty m:val="p"/>
              </m:rPr>
              <m:t>−</m:t>
            </m:r>
            <m:r>
              <m:t>4</m:t>
            </m:r>
          </m:sup>
        </m:sSup>
      </m:oMath>
      <w:r>
        <w:t xml:space="preserve">. This is a directional-balance test, not a zero-mean test [Holm 1979]. A negative change narrowed an existing L advantage; it did not make C absolutely superior.</w:t>
      </w:r>
    </w:p>
    <w:p>
      <w:pPr>
        <w:pStyle w:val="BodyText"/>
      </w:pPr>
      <w:r>
        <w:t xml:space="preserve">No singleton met the strict new-record criterion throughout an original half-unit window. Some initially uninformative native-frame sites nevertheless became briefly strongly readable. Global distinguishability was conserved and transport controls succeeded. The zero persistent count is conditional on the initial-information floor, singleton access, error threshold and short windows, not absence of information transport.</w:t>
      </w:r>
    </w:p>
    <w:p>
      <w:pPr>
        <w:pStyle w:val="BodyText"/>
      </w:pPr>
      <w:r>
        <w:t xml:space="preserve">A separately written review-stage implementation used the declared law with fresh streams, inferring the open-chain convention, circuit-layer order and tensor-factor ordering from the protocol. Those conventions are documented in the accompanying results log. Its 60,000-unit six-qubit rotated sample has mean -0.014125 and a range-only 95% interval [-0.025213, -0.003036]. Re-execution reproduced the supplied output. This strengthens the negative mean for that specific target; it does not identify the mechanism responsible for the change. The reimplementation, historical pilot and subsequent controls are separate runs, not one enlarged original sample.</w:t>
      </w:r>
    </w:p>
    <w:bookmarkEnd w:id="55"/>
    <w:bookmarkStart w:id="56" w:name="Xb1a4a1797d37fb88db2e2c9340eb3b8ecc15515"/>
    <w:p>
      <w:pPr>
        <w:pStyle w:val="Heading2"/>
      </w:pPr>
      <w:r>
        <w:t xml:space="preserve">6.3 Factorial extension: rotating dynamics at fixed injection</w:t>
      </w:r>
    </w:p>
    <w:p>
      <w:pPr>
        <w:pStyle w:val="FirstParagraph"/>
      </w:pPr>
      <w:r>
        <w:t xml:space="preserve">The original study held the Hamiltonian native to L. A subsequent exploratory extension supplied the missing alternative intervention,</w:t>
      </w:r>
      <w:r>
        <w:t xml:space="preserve"> </w:t>
      </w:r>
      <m:oMath>
        <m:sSub>
          <m:e>
            <m:r>
              <m:t>H</m:t>
            </m:r>
          </m:e>
          <m:sub>
            <m:r>
              <m:t>C</m:t>
            </m:r>
          </m:sub>
        </m:sSub>
        <m:r>
          <m:rPr>
            <m:sty m:val="p"/>
          </m:rPr>
          <m:t>=</m:t>
        </m:r>
        <m:sSub>
          <m:e>
            <m:r>
              <m:t>U</m:t>
            </m:r>
          </m:e>
          <m:sub>
            <m:r>
              <m:t>C</m:t>
            </m:r>
          </m:sub>
        </m:sSub>
        <m:sSub>
          <m:e>
            <m:r>
              <m:t>H</m:t>
            </m:r>
          </m:e>
          <m:sub>
            <m:r>
              <m:t>L</m:t>
            </m:r>
          </m:sub>
        </m:sSub>
        <m:sSubSup>
          <m:e>
            <m:r>
              <m:t>U</m:t>
            </m:r>
          </m:e>
          <m:sub>
            <m:r>
              <m:t>C</m:t>
            </m:r>
          </m:sub>
          <m:sup>
            <m:r>
              <m:rPr>
                <m:sty m:val="p"/>
              </m:rPr>
              <m:t>†</m:t>
            </m:r>
          </m:sup>
        </m:sSubSup>
      </m:oMath>
      <w:r>
        <w:t xml:space="preserve">, retaining the same spectrum, unit-specific inputs and readout frames. It crossed injection in</w:t>
      </w:r>
      <w:r>
        <w:t xml:space="preserve"> </w:t>
      </w:r>
      <m:oMath>
        <m:r>
          <m:t>a</m:t>
        </m:r>
        <m:r>
          <m:rPr>
            <m:sty m:val="p"/>
          </m:rPr>
          <m:t>∈</m:t>
        </m:r>
        <m:r>
          <m:rPr>
            <m:sty m:val="p"/>
          </m:rPr>
          <m:t>{</m:t>
        </m:r>
        <m:r>
          <m:t>L</m:t>
        </m:r>
        <m:r>
          <m:rPr>
            <m:sty m:val="p"/>
          </m:rPr>
          <m:t>,</m:t>
        </m:r>
        <m:r>
          <m:t>C</m:t>
        </m:r>
        <m:r>
          <m:rPr>
            <m:sty m:val="p"/>
          </m:rPr>
          <m:t>}</m:t>
        </m:r>
      </m:oMath>
      <w:r>
        <w:t xml:space="preserve"> </w:t>
      </w:r>
      <w:r>
        <w:t xml:space="preserve">with evolution under</w:t>
      </w:r>
      <w:r>
        <w:t xml:space="preserve"> </w:t>
      </w:r>
      <m:oMath>
        <m:r>
          <m:t>b</m:t>
        </m:r>
        <m:r>
          <m:rPr>
            <m:sty m:val="p"/>
          </m:rPr>
          <m:t>∈</m:t>
        </m:r>
        <m:r>
          <m:rPr>
            <m:sty m:val="p"/>
          </m:rPr>
          <m:t>{</m:t>
        </m:r>
        <m:r>
          <m:t>L</m:t>
        </m:r>
        <m:r>
          <m:rPr>
            <m:sty m:val="p"/>
          </m:rPr>
          <m:t>,</m:t>
        </m:r>
        <m:r>
          <m:t>C</m:t>
        </m:r>
        <m:r>
          <m:rPr>
            <m:sty m:val="p"/>
          </m:rPr>
          <m:t>}</m:t>
        </m:r>
      </m:oMath>
      <w:r>
        <w:t xml:space="preserve">. For each unit define the post-time-average readability gap</w:t>
      </w:r>
      <w:r>
        <w:t xml:space="preserve"> </w:t>
      </w:r>
      <m:oMath>
        <m:sSubSup>
          <m:e>
            <m:r>
              <m:t>g</m:t>
            </m:r>
          </m:e>
          <m:sub>
            <m:r>
              <m:t>b</m:t>
            </m:r>
          </m:sub>
          <m:sup>
            <m:r>
              <m:t>a</m:t>
            </m:r>
          </m:sup>
        </m:sSubSup>
      </m:oMath>
      <w:r>
        <w:t xml:space="preserve"> </w:t>
      </w:r>
      <w:r>
        <w:t xml:space="preserve">and its common initial value</w:t>
      </w:r>
      <w:r>
        <w:t xml:space="preserve"> </w:t>
      </w:r>
      <m:oMath>
        <m:sSubSup>
          <m:e>
            <m:r>
              <m:t>g</m:t>
            </m:r>
          </m:e>
          <m:sub>
            <m:r>
              <m:t>0</m:t>
            </m:r>
          </m:sub>
          <m:sup>
            <m:r>
              <m:t>a</m:t>
            </m:r>
          </m:sup>
        </m:sSubSup>
      </m:oMath>
      <w:r>
        <w:t xml:space="preserve">. Then</w:t>
      </w:r>
    </w:p>
    <w:p>
      <w:pPr>
        <w:pStyle w:val="BodyText"/>
      </w:pPr>
      <m:oMathPara>
        <m:oMathParaPr>
          <m:jc m:val="center"/>
        </m:oMathParaPr>
        <m:oMath>
          <m:sSub>
            <m:e>
              <m:r>
                <m:t>z</m:t>
              </m:r>
            </m:e>
            <m:sub>
              <m:r>
                <m:t>a</m:t>
              </m:r>
              <m:r>
                <m:t>b</m:t>
              </m:r>
            </m:sub>
          </m:sSub>
          <m:r>
            <m:rPr>
              <m:sty m:val="p"/>
            </m:rPr>
            <m:t>=</m:t>
          </m:r>
          <m:f>
            <m:fPr>
              <m:type m:val="lin"/>
            </m:fPr>
            <m:num>
              <m:r>
                <m:t>1</m:t>
              </m:r>
            </m:num>
            <m:den>
              <m:r>
                <m:t>2</m:t>
              </m:r>
            </m:den>
          </m:f>
          <m:r>
            <m:rPr>
              <m:sty m:val="p"/>
            </m:rPr>
            <m:t>(</m:t>
          </m:r>
          <m:sSubSup>
            <m:e>
              <m:r>
                <m:t>g</m:t>
              </m:r>
            </m:e>
            <m:sub>
              <m:r>
                <m:t>b</m:t>
              </m:r>
            </m:sub>
            <m:sup>
              <m:r>
                <m:t>a</m:t>
              </m:r>
            </m:sup>
          </m:sSubSup>
          <m:r>
            <m:rPr>
              <m:sty m:val="p"/>
            </m:rPr>
            <m:t>−</m:t>
          </m:r>
          <m:sSubSup>
            <m:e>
              <m:r>
                <m:t>g</m:t>
              </m:r>
            </m:e>
            <m:sub>
              <m:r>
                <m:t>0</m:t>
              </m:r>
            </m:sub>
            <m:sup>
              <m:r>
                <m:t>a</m:t>
              </m:r>
            </m:sup>
          </m:sSubSup>
          <m:r>
            <m:rPr>
              <m:sty m:val="p"/>
            </m:rPr>
            <m:t>)</m:t>
          </m:r>
          <m:r>
            <m:rPr>
              <m:sty m:val="p"/>
            </m:rPr>
            <m:t>,</m:t>
          </m:r>
          <m:r>
            <m:t>  </m:t>
          </m:r>
          <m:sSub>
            <m:e>
              <m:r>
                <m:t>e</m:t>
              </m:r>
            </m:e>
            <m:sub>
              <m:r>
                <m:t>a</m:t>
              </m:r>
            </m:sub>
          </m:sSub>
          <m:r>
            <m:rPr>
              <m:sty m:val="p"/>
            </m:rPr>
            <m:t>=</m:t>
          </m:r>
          <m:sSub>
            <m:e>
              <m:r>
                <m:t>z</m:t>
              </m:r>
            </m:e>
            <m:sub>
              <m:r>
                <m:t>a</m:t>
              </m:r>
              <m:r>
                <m:t>L</m:t>
              </m:r>
            </m:sub>
          </m:sSub>
          <m:r>
            <m:rPr>
              <m:sty m:val="p"/>
            </m:rPr>
            <m:t>−</m:t>
          </m:r>
          <m:sSub>
            <m:e>
              <m:r>
                <m:t>z</m:t>
              </m:r>
            </m:e>
            <m:sub>
              <m:r>
                <m:t>a</m:t>
              </m:r>
              <m:r>
                <m:t>C</m:t>
              </m:r>
            </m:sub>
          </m:sSub>
          <m:r>
            <m:rPr>
              <m:sty m:val="p"/>
            </m:rPr>
            <m:t>=</m:t>
          </m:r>
          <m:f>
            <m:fPr>
              <m:type m:val="lin"/>
            </m:fPr>
            <m:num>
              <m:r>
                <m:t>1</m:t>
              </m:r>
            </m:num>
            <m:den>
              <m:r>
                <m:t>2</m:t>
              </m:r>
            </m:den>
          </m:f>
          <m:r>
            <m:rPr>
              <m:sty m:val="p"/>
            </m:rPr>
            <m:t>(</m:t>
          </m:r>
          <m:sSubSup>
            <m:e>
              <m:r>
                <m:t>g</m:t>
              </m:r>
            </m:e>
            <m:sub>
              <m:r>
                <m:t>L</m:t>
              </m:r>
            </m:sub>
            <m:sup>
              <m:r>
                <m:t>a</m:t>
              </m:r>
            </m:sup>
          </m:sSubSup>
          <m:r>
            <m:rPr>
              <m:sty m:val="p"/>
            </m:rPr>
            <m:t>−</m:t>
          </m:r>
          <m:sSubSup>
            <m:e>
              <m:r>
                <m:t>g</m:t>
              </m:r>
            </m:e>
            <m:sub>
              <m:r>
                <m:t>C</m:t>
              </m:r>
            </m:sub>
            <m:sup>
              <m:r>
                <m:t>a</m:t>
              </m:r>
            </m:sup>
          </m:sSubSup>
          <m:r>
            <m:rPr>
              <m:sty m:val="p"/>
            </m:rPr>
            <m:t>)</m:t>
          </m:r>
          <m:r>
            <m:rPr>
              <m:sty m:val="p"/>
            </m:rPr>
            <m:t>.</m:t>
          </m:r>
        </m:oMath>
      </m:oMathPara>
    </w:p>
    <w:p>
      <w:pPr>
        <w:pStyle w:val="FirstParagraph"/>
      </w:pPr>
      <w:r>
        <w:t xml:space="preserve">The original rotated-pilot target is</w:t>
      </w:r>
      <w:r>
        <w:t xml:space="preserve"> </w:t>
      </w:r>
      <m:oMath>
        <m:r>
          <m:rPr>
            <m:sty m:val="p"/>
            <m:scr m:val="double-struck"/>
          </m:rPr>
          <m:t>E</m:t>
        </m:r>
        <m:r>
          <m:rPr>
            <m:sty m:val="p"/>
          </m:rPr>
          <m:t>[</m:t>
        </m:r>
        <m:sSub>
          <m:e>
            <m:r>
              <m:t>z</m:t>
            </m:r>
          </m:e>
          <m:sub>
            <m:r>
              <m:t>C</m:t>
            </m:r>
            <m:r>
              <m:t>L</m:t>
            </m:r>
          </m:sub>
        </m:sSub>
        <m:r>
          <m:rPr>
            <m:sty m:val="p"/>
          </m:rPr>
          <m:t>]</m:t>
        </m:r>
      </m:oMath>
      <w:r>
        <w:t xml:space="preserve">. The new intervention target is</w:t>
      </w:r>
      <w:r>
        <w:t xml:space="preserve"> </w:t>
      </w:r>
      <m:oMath>
        <m:r>
          <m:rPr>
            <m:sty m:val="p"/>
            <m:scr m:val="double-struck"/>
          </m:rPr>
          <m:t>E</m:t>
        </m:r>
        <m:r>
          <m:rPr>
            <m:sty m:val="p"/>
          </m:rPr>
          <m:t>[</m:t>
        </m:r>
        <m:sSub>
          <m:e>
            <m:r>
              <m:t>e</m:t>
            </m:r>
          </m:e>
          <m:sub>
            <m:r>
              <m:t>C</m:t>
            </m:r>
          </m:sub>
        </m:sSub>
        <m:r>
          <m:rPr>
            <m:sty m:val="p"/>
          </m:rPr>
          <m:t>]</m:t>
        </m:r>
      </m:oMath>
      <w:r>
        <w:t xml:space="preserve">. The initial gap cancels only in the latter. A negative first quantity and a positive second quantity are fully compatible, not a reversal of one result.</w:t>
      </w:r>
    </w:p>
    <w:p>
      <w:pPr>
        <w:pStyle w:val="BodyText"/>
        <w:keepNext/>
      </w:pPr>
      <w:r>
        <w:rPr>
          <w:b/>
          <w:bCs/>
        </w:rPr>
        <w:t xml:space="preserve">Table 3. Six-qubit factorial extension, 20,000 paired units</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1770"/>
        <w:gridCol w:w="2360"/>
        <w:gridCol w:w="3048"/>
        <w:gridCol w:w="2655"/>
      </w:tblGrid>
      <w:tr>
        <w:trPr>
          <w:tblHeader w:val="on"/>
          <w:tblHeader/>
          <w:cantSplit/>
        </w:trPr>
        <w:tc>
          <w:tcPr>
            <w:shd w:fill="EAF0F4"/>
            <w:tcW w:type="dxa" w:w="1770"/>
            <w:vAlign w:val="top"/>
          </w:tcPr>
          <w:p>
            <w:pPr>
              <w:pStyle w:val="Compact"/>
              <w:spacing w:after="60" w:line="240" w:lineRule="auto"/>
              <w:jc w:val="left"/>
            </w:pPr>
            <w:r>
              <w:rPr>
                <w:rFonts w:ascii="Carlito" w:hAnsi="Carlito"/>
                <w:b/>
                <w:sz w:val="18"/>
              </w:rPr>
              <w:t xml:space="preserve">Injection</w:t>
            </w:r>
          </w:p>
        </w:tc>
        <w:tc>
          <w:tcPr>
            <w:shd w:fill="EAF0F4"/>
            <w:tcW w:type="dxa" w:w="2360"/>
            <w:vAlign w:val="top"/>
          </w:tcPr>
          <w:p>
            <w:pPr>
              <w:pStyle w:val="Compact"/>
              <w:spacing w:after="60" w:line="240" w:lineRule="auto"/>
              <w:jc w:val="left"/>
            </w:pPr>
            <w:r>
              <w:rPr>
                <w:rFonts w:ascii="Carlito" w:hAnsi="Carlito"/>
                <w:b/>
                <w:sz w:val="18"/>
              </w:rPr>
              <w:t xml:space="preserve">Dynamics native to L</w:t>
            </w:r>
          </w:p>
        </w:tc>
        <w:tc>
          <w:tcPr>
            <w:shd w:fill="EAF0F4"/>
            <w:tcW w:type="dxa" w:w="3048"/>
            <w:vAlign w:val="top"/>
          </w:tcPr>
          <w:p>
            <w:pPr>
              <w:pStyle w:val="Compact"/>
              <w:spacing w:after="60" w:line="240" w:lineRule="auto"/>
              <w:jc w:val="left"/>
            </w:pPr>
            <w:r>
              <w:rPr>
                <w:rFonts w:ascii="Carlito" w:hAnsi="Carlito"/>
                <w:b/>
                <w:sz w:val="18"/>
              </w:rPr>
              <w:t xml:space="preserve">Dynamics native to C</w:t>
            </w:r>
          </w:p>
        </w:tc>
        <w:tc>
          <w:tcPr>
            <w:shd w:fill="EAF0F4"/>
            <w:tcW w:type="dxa" w:w="2655"/>
            <w:vAlign w:val="top"/>
          </w:tcPr>
          <w:p>
            <w:pPr>
              <w:pStyle w:val="Compact"/>
              <w:spacing w:after="60" w:line="240" w:lineRule="auto"/>
              <w:jc w:val="left"/>
            </w:pPr>
            <w:r>
              <w:rPr>
                <w:rFonts w:ascii="Carlito" w:hAnsi="Carlito"/>
                <w:b/>
                <w:sz w:val="18"/>
              </w:rPr>
              <w:t xml:space="preserve">Paired difference L minus C</w:t>
            </w:r>
          </w:p>
        </w:tc>
      </w:tr>
      <w:tr>
        <w:trPr>
          <w:cantSplit/>
        </w:trPr>
        <w:tc>
          <w:tcPr>
            <w:tcW w:type="dxa" w:w="1770"/>
            <w:vAlign w:val="top"/>
          </w:tcPr>
          <w:p>
            <w:pPr>
              <w:pStyle w:val="Compact"/>
              <w:spacing w:after="60" w:line="240" w:lineRule="auto"/>
              <w:jc w:val="left"/>
            </w:pPr>
            <w:r>
              <w:rPr>
                <w:rFonts w:ascii="Carlito" w:hAnsi="Carlito"/>
                <w:sz w:val="18"/>
              </w:rPr>
              <w:t xml:space="preserve">L</w:t>
            </w:r>
          </w:p>
        </w:tc>
        <w:tc>
          <w:tcPr>
            <w:tcW w:type="dxa" w:w="2360"/>
            <w:vAlign w:val="top"/>
          </w:tcPr>
          <w:p>
            <w:pPr>
              <w:pStyle w:val="Compact"/>
              <w:spacing w:after="60" w:line="240" w:lineRule="auto"/>
              <w:jc w:val="left"/>
            </w:pPr>
            <w:r>
              <w:rPr>
                <w:rFonts w:ascii="Carlito" w:hAnsi="Carlito"/>
                <w:sz w:val="18"/>
              </w:rPr>
              <w:t xml:space="preserve">0.014004</w:t>
            </w:r>
          </w:p>
        </w:tc>
        <w:tc>
          <w:tcPr>
            <w:tcW w:type="dxa" w:w="3048"/>
            <w:vAlign w:val="top"/>
          </w:tcPr>
          <w:p>
            <w:pPr>
              <w:pStyle w:val="Compact"/>
              <w:spacing w:after="60" w:line="240" w:lineRule="auto"/>
              <w:jc w:val="left"/>
            </w:pPr>
            <w:r>
              <w:rPr>
                <w:rFonts w:ascii="Carlito" w:hAnsi="Carlito"/>
                <w:sz w:val="18"/>
              </w:rPr>
              <w:t xml:space="preserve">0.003491</w:t>
            </w:r>
          </w:p>
        </w:tc>
        <w:tc>
          <w:tcPr>
            <w:tcW w:type="dxa" w:w="2655"/>
            <w:vAlign w:val="top"/>
          </w:tcPr>
          <w:p>
            <w:pPr>
              <w:pStyle w:val="Compact"/>
              <w:spacing w:after="60" w:line="240" w:lineRule="auto"/>
              <w:jc w:val="left"/>
            </w:pPr>
            <w:r>
              <w:rPr>
                <w:rFonts w:ascii="Carlito" w:hAnsi="Carlito"/>
                <w:sz w:val="18"/>
              </w:rPr>
              <w:t xml:space="preserve">0.010514</w:t>
            </w:r>
          </w:p>
        </w:tc>
      </w:tr>
      <w:tr>
        <w:trPr>
          <w:cantSplit/>
        </w:trPr>
        <w:tc>
          <w:tcPr>
            <w:tcW w:type="dxa" w:w="1770"/>
            <w:vAlign w:val="top"/>
          </w:tcPr>
          <w:p>
            <w:pPr>
              <w:pStyle w:val="Compact"/>
              <w:spacing w:after="60" w:line="240" w:lineRule="auto"/>
              <w:jc w:val="left"/>
            </w:pPr>
            <w:r>
              <w:rPr>
                <w:rFonts w:ascii="Carlito" w:hAnsi="Carlito"/>
                <w:sz w:val="18"/>
              </w:rPr>
              <w:t xml:space="preserve">C</w:t>
            </w:r>
          </w:p>
        </w:tc>
        <w:tc>
          <w:tcPr>
            <w:tcW w:type="dxa" w:w="2360"/>
            <w:vAlign w:val="top"/>
          </w:tcPr>
          <w:p>
            <w:pPr>
              <w:pStyle w:val="Compact"/>
              <w:spacing w:after="60" w:line="240" w:lineRule="auto"/>
              <w:jc w:val="left"/>
            </w:pPr>
            <w:r>
              <w:rPr>
                <w:rFonts w:ascii="Carlito" w:hAnsi="Carlito"/>
                <w:sz w:val="18"/>
              </w:rPr>
              <w:t xml:space="preserve">-0.014028</w:t>
            </w:r>
          </w:p>
        </w:tc>
        <w:tc>
          <w:tcPr>
            <w:tcW w:type="dxa" w:w="3048"/>
            <w:vAlign w:val="top"/>
          </w:tcPr>
          <w:p>
            <w:pPr>
              <w:pStyle w:val="Compact"/>
              <w:spacing w:after="60" w:line="240" w:lineRule="auto"/>
              <w:jc w:val="left"/>
            </w:pPr>
            <w:r>
              <w:rPr>
                <w:rFonts w:ascii="Carlito" w:hAnsi="Carlito"/>
                <w:sz w:val="18"/>
              </w:rPr>
              <w:t xml:space="preserve">-0.026663</w:t>
            </w:r>
          </w:p>
        </w:tc>
        <w:tc>
          <w:tcPr>
            <w:tcW w:type="dxa" w:w="2655"/>
            <w:vAlign w:val="top"/>
          </w:tcPr>
          <w:p>
            <w:pPr>
              <w:pStyle w:val="Compact"/>
              <w:spacing w:after="60" w:line="240" w:lineRule="auto"/>
              <w:jc w:val="left"/>
            </w:pPr>
            <w:r>
              <w:rPr>
                <w:rFonts w:ascii="Carlito" w:hAnsi="Carlito"/>
                <w:sz w:val="18"/>
              </w:rPr>
              <w:t xml:space="preserve">0.012635</w:t>
            </w:r>
          </w:p>
        </w:tc>
      </w:tr>
    </w:tbl>
    <w:p>
      <w:pPr>
        <w:pStyle w:val="BodyText"/>
      </w:pPr>
      <w:r>
        <w:t xml:space="preserve">The supplied four-, six- and eight-qubit runs were re-executed. All six mean intervention contrasts are positive. With six disclosed targets and two-sided family coverage at least 95%, the empirical-Bernstein calculation in Supplement Section S4 gives intervals [0.008604, 0.012423] and [0.010692, 0.014579] for the six-qubit L- and C-injection contrasts. Both four-qubit intervals also exclude zero; the eight-qubit intervals with only 1,000 units do not. Normal-approximation intervals are reported separately and are narrower. The analysis is post hoc, assumes independent units from the specified law, and does not certify floating-point error [Maurer and Pontil 2009].</w:t>
      </w:r>
    </w:p>
    <w:p>
      <w:pPr>
        <w:pStyle w:val="BodyText"/>
      </w:pPr>
      <w:r>
        <w:t xml:space="preserve">The range is</w:t>
      </w:r>
      <w:r>
        <w:t xml:space="preserve"> </w:t>
      </w:r>
      <m:oMath>
        <m:sSub>
          <m:e>
            <m:r>
              <m:t>e</m:t>
            </m:r>
          </m:e>
          <m:sub>
            <m:r>
              <m:t>a</m:t>
            </m:r>
          </m:sub>
        </m:sSub>
        <m:r>
          <m:rPr>
            <m:sty m:val="p"/>
          </m:rPr>
          <m:t>∈</m:t>
        </m:r>
        <m:r>
          <m:rPr>
            <m:sty m:val="p"/>
          </m:rPr>
          <m:t>[</m:t>
        </m:r>
        <m:r>
          <m:rPr>
            <m:sty m:val="p"/>
          </m:rPr>
          <m:t>−</m:t>
        </m:r>
        <m:r>
          <m:t>1</m:t>
        </m:r>
        <m:r>
          <m:rPr>
            <m:sty m:val="p"/>
          </m:rPr>
          <m:t>,</m:t>
        </m:r>
        <m:r>
          <m:t>1</m:t>
        </m:r>
        <m:r>
          <m:rPr>
            <m:sty m:val="p"/>
          </m:rPr>
          <m:t>]</m:t>
        </m:r>
      </m:oMath>
      <w:r>
        <w:t xml:space="preserve">, not the loose difference-of-two-ranges interval [-2,2], because the initial gap cancels. This permits the sharper, explicitly derived bound. Its use is a precision calculation for this finite family, not a retrospective preregistration or a guarantee for every analysis selected after review.</w:t>
      </w:r>
    </w:p>
    <w:bookmarkEnd w:id="56"/>
    <w:bookmarkStart w:id="57" w:name="interpretation-and-limits"/>
    <w:p>
      <w:pPr>
        <w:pStyle w:val="Heading2"/>
      </w:pPr>
      <w:r>
        <w:t xml:space="preserve">6.4 Interpretation and limits</w:t>
      </w:r>
    </w:p>
    <w:p>
      <w:pPr>
        <w:pStyle w:val="FirstParagraph"/>
      </w:pPr>
      <w:r>
        <w:t xml:space="preserve">The added factor demonstrates a positive relative effect of the specified Hamiltonian rotation intervention at fixed injection in this family. The old result was a change relative to no evolution; it was not an isolated estimate of a locality mechanism. Neither result is discarded. The independently generated third-frame comparator lies between L and C in the supplied means, but its designation as neutral is a design description, not a theorem that it breaks only one causal link.</w:t>
      </w:r>
    </w:p>
    <w:p>
      <w:pPr>
        <w:pStyle w:val="BodyText"/>
      </w:pPr>
      <w:r>
        <w:t xml:space="preserve">Isospectral conjugation does not change only locality: relative to a fixed prepared state it can change energy distributions, correlations with input structure and which observables are simple. Both native and shallow-circuit-rotated Hamiltonians also have controlled finite-range structure relative to related descriptions. Lieb-Robinson bounds constrain commutator propagation under explicit interaction assumptions [Lieb and Robinson 1972]; they do not prove the sign of a difference of time-averaged singleton trace norms. Calling the observed contrast the light-cone effect would therefore be a mechanistic inference requiring further discrimination.</w:t>
      </w:r>
    </w:p>
    <w:p>
      <w:pPr>
        <w:pStyle w:val="BodyText"/>
      </w:pPr>
      <w:r>
        <w:t xml:space="preserve">No tensor-product structure is reconstructed by these computations, and the factorial outcome is not strict or redundant record formation. The remaining physical task is to identify unknown structure from several interventions and predict held-out responses without giving the algorithm its target. The methodological lesson is precise: a baseline-subtracted change, a paired Hamiltonian intervention and a structure-identification claim require different evidence.</w:t>
      </w:r>
    </w:p>
    <w:bookmarkEnd w:id="57"/>
    <w:bookmarkEnd w:id="58"/>
    <w:bookmarkStart w:id="66" w:name="conjectures-and-prospective-comparisons"/>
    <w:p>
      <w:pPr>
        <w:pStyle w:val="Heading1"/>
      </w:pPr>
      <w:r>
        <w:t xml:space="preserve">7. Conjectures and prospective comparisons</w:t>
      </w:r>
    </w:p>
    <w:p>
      <w:pPr>
        <w:pStyle w:val="BlockText"/>
      </w:pPr>
      <w:r>
        <w:rPr>
          <w:b/>
          <w:bCs/>
        </w:rPr>
        <w:t xml:space="preserve">Distinct targets.</w:t>
      </w:r>
      <w:r>
        <w:t xml:space="preserve"> </w:t>
      </w:r>
      <w:r>
        <w:t xml:space="preserve">LRA-count compares two declared reference frames, not two independently recovered global optima. It is neither LRA-int nor LRA-tot. The executed source-off pilot instead measures a baseline-subtracted readability change, not persistent record counts. No result is transferred between these targets by renaming it.</w:t>
      </w:r>
    </w:p>
    <w:bookmarkStart w:id="59" w:name="two-distinct-model-class-hypotheses"/>
    <w:p>
      <w:pPr>
        <w:pStyle w:val="Heading2"/>
      </w:pPr>
      <w:r>
        <w:t xml:space="preserve">7.1 Two distinct model-class hypotheses</w:t>
      </w:r>
    </w:p>
    <w:p>
      <w:pPr>
        <w:pStyle w:val="FirstParagraph"/>
      </w:pPr>
      <w:r>
        <w:t xml:space="preserve">An implementation</w:t>
      </w:r>
      <w:r>
        <w:t xml:space="preserve"> </w:t>
      </w:r>
      <m:oMath>
        <m:r>
          <m:t>Θ</m:t>
        </m:r>
      </m:oMath>
      <w:r>
        <w:t xml:space="preserve"> </w:t>
      </w:r>
      <w:r>
        <w:t xml:space="preserve">must fix a model-history law</w:t>
      </w:r>
      <w:r>
        <w:t xml:space="preserve"> </w:t>
      </w:r>
      <m:oMath>
        <m:r>
          <m:t>ν</m:t>
        </m:r>
      </m:oMath>
      <w:r>
        <w:t xml:space="preserve">, source and preparation resources, candidates or search algorithms, record rule, locality rule, valid reference distribution and effect margin. Let</w:t>
      </w:r>
      <w:r>
        <w:t xml:space="preserve"> </w:t>
      </w:r>
      <m:oMath>
        <m:r>
          <m:rPr>
            <m:sty m:val="p"/>
            <m:scr m:val="sans-serif"/>
          </m:rPr>
          <m:t>K</m:t>
        </m:r>
      </m:oMath>
      <w:r>
        <w:t xml:space="preserve"> </w:t>
      </w:r>
      <w:r>
        <w:t xml:space="preserve">denote that declared population, not a class selected after observing which models make records. For a candidate-overlap design, define</w:t>
      </w:r>
      <w:r>
        <w:t xml:space="preserve"> </w:t>
      </w:r>
      <m:oMath>
        <m:sSub>
          <m:e>
            <m:r>
              <m:t>d</m:t>
            </m:r>
          </m:e>
          <m:sub>
            <m:r>
              <m:t>Θ</m:t>
            </m:r>
            <m:r>
              <m:rPr>
                <m:sty m:val="p"/>
              </m:rPr>
              <m:t>,</m:t>
            </m:r>
            <m:r>
              <m:rPr>
                <m:sty m:val="p"/>
              </m:rPr>
              <m:t>i</m:t>
            </m:r>
            <m:r>
              <m:rPr>
                <m:sty m:val="p"/>
              </m:rPr>
              <m:t>n</m:t>
            </m:r>
            <m:r>
              <m:rPr>
                <m:sty m:val="p"/>
              </m:rPr>
              <m:t>t</m:t>
            </m:r>
          </m:sub>
        </m:sSub>
        <m:r>
          <m:rPr>
            <m:sty m:val="p"/>
          </m:rPr>
          <m:t>=</m:t>
        </m:r>
        <m:r>
          <m:rPr>
            <m:sty m:val="p"/>
            <m:scr m:val="double-struck"/>
          </m:rPr>
          <m:t>E</m:t>
        </m:r>
        <m:r>
          <m:rPr>
            <m:sty m:val="p"/>
          </m:rPr>
          <m:t>[</m:t>
        </m:r>
        <m:sSub>
          <m:e>
            <m:r>
              <m:t>A</m:t>
            </m:r>
          </m:e>
          <m:sub>
            <m:r>
              <m:rPr>
                <m:sty m:val="p"/>
              </m:rPr>
              <m:t>i</m:t>
            </m:r>
            <m:r>
              <m:rPr>
                <m:sty m:val="p"/>
              </m:rPr>
              <m:t>n</m:t>
            </m:r>
            <m:r>
              <m:rPr>
                <m:sty m:val="p"/>
              </m:rPr>
              <m:t>t</m:t>
            </m:r>
          </m:sub>
        </m:sSub>
        <m:r>
          <m:rPr>
            <m:sty m:val="p"/>
          </m:rPr>
          <m:t>−</m:t>
        </m:r>
        <m:sSub>
          <m:e>
            <m:r>
              <m:t>q</m:t>
            </m:r>
          </m:e>
          <m:sub>
            <m:r>
              <m:rPr>
                <m:sty m:val="p"/>
              </m:rPr>
              <m:t>i</m:t>
            </m:r>
            <m:r>
              <m:rPr>
                <m:sty m:val="p"/>
              </m:rPr>
              <m:t>n</m:t>
            </m:r>
            <m:r>
              <m:rPr>
                <m:sty m:val="p"/>
              </m:rPr>
              <m:t>t</m:t>
            </m:r>
          </m:sub>
        </m:sSub>
        <m:r>
          <m:rPr>
            <m:sty m:val="p"/>
          </m:rPr>
          <m:t>]</m:t>
        </m:r>
      </m:oMath>
      <w:r>
        <w:t xml:space="preserve"> </w:t>
      </w:r>
      <w:r>
        <w:t xml:space="preserve">and analogously for the branchwise total score.</w:t>
      </w:r>
    </w:p>
    <w:p>
      <w:pPr>
        <w:pStyle w:val="BodyText"/>
      </w:pPr>
      <w:r>
        <w:rPr>
          <w:b/>
          <w:bCs/>
        </w:rPr>
        <w:t xml:space="preserve">LRA-int(</w:t>
      </w:r>
      <m:oMath>
        <m:r>
          <m:t>Θ</m:t>
        </m:r>
      </m:oMath>
      <w:r>
        <w:rPr>
          <w:b/>
          <w:bCs/>
        </w:rPr>
        <w:t xml:space="preserve">).</w:t>
      </w:r>
      <w:r>
        <w:t xml:space="preserve"> </w:t>
      </w:r>
      <m:oMath>
        <m:sSub>
          <m:e>
            <m:r>
              <m:t>d</m:t>
            </m:r>
          </m:e>
          <m:sub>
            <m:r>
              <m:t>Θ</m:t>
            </m:r>
            <m:r>
              <m:rPr>
                <m:sty m:val="p"/>
              </m:rPr>
              <m:t>,</m:t>
            </m:r>
            <m:r>
              <m:rPr>
                <m:sty m:val="p"/>
              </m:rPr>
              <m:t>i</m:t>
            </m:r>
            <m:r>
              <m:rPr>
                <m:sty m:val="p"/>
              </m:rPr>
              <m:t>n</m:t>
            </m:r>
            <m:r>
              <m:rPr>
                <m:sty m:val="p"/>
              </m:rPr>
              <m:t>t</m:t>
            </m:r>
          </m:sub>
        </m:sSub>
        <m:r>
          <m:rPr>
            <m:sty m:val="p"/>
          </m:rPr>
          <m:t>≥</m:t>
        </m:r>
        <m:sSub>
          <m:e>
            <m:r>
              <m:t>Δ</m:t>
            </m:r>
          </m:e>
          <m:sub>
            <m:r>
              <m:rPr>
                <m:sty m:val="p"/>
              </m:rPr>
              <m:t>i</m:t>
            </m:r>
            <m:r>
              <m:rPr>
                <m:sty m:val="p"/>
              </m:rPr>
              <m:t>n</m:t>
            </m:r>
            <m:r>
              <m:rPr>
                <m:sty m:val="p"/>
              </m:rPr>
              <m:t>t</m:t>
            </m:r>
          </m:sub>
        </m:sSub>
        <m:r>
          <m:rPr>
            <m:sty m:val="p"/>
          </m:rPr>
          <m:t>&gt;</m:t>
        </m:r>
        <m:r>
          <m:t>0</m:t>
        </m:r>
      </m:oMath>
      <w:r>
        <w:t xml:space="preserve">.</w:t>
      </w:r>
    </w:p>
    <w:p>
      <w:pPr>
        <w:pStyle w:val="BodyText"/>
      </w:pPr>
      <w:r>
        <w:rPr>
          <w:b/>
          <w:bCs/>
        </w:rPr>
        <w:t xml:space="preserve">LRA-tot(</w:t>
      </w:r>
      <m:oMath>
        <m:r>
          <m:t>Θ</m:t>
        </m:r>
      </m:oMath>
      <w:r>
        <w:rPr>
          <w:b/>
          <w:bCs/>
        </w:rPr>
        <w:t xml:space="preserve">).</w:t>
      </w:r>
      <w:r>
        <w:t xml:space="preserve"> </w:t>
      </w:r>
      <m:oMath>
        <m:sSub>
          <m:e>
            <m:r>
              <m:t>d</m:t>
            </m:r>
          </m:e>
          <m:sub>
            <m:r>
              <m:t>Θ</m:t>
            </m:r>
            <m:r>
              <m:rPr>
                <m:sty m:val="p"/>
              </m:rPr>
              <m:t>,</m:t>
            </m:r>
            <m:r>
              <m:rPr>
                <m:sty m:val="p"/>
              </m:rPr>
              <m:t>t</m:t>
            </m:r>
            <m:r>
              <m:rPr>
                <m:sty m:val="p"/>
              </m:rPr>
              <m:t>o</m:t>
            </m:r>
            <m:r>
              <m:rPr>
                <m:sty m:val="p"/>
              </m:rPr>
              <m:t>t</m:t>
            </m:r>
          </m:sub>
        </m:sSub>
        <m:r>
          <m:rPr>
            <m:sty m:val="p"/>
          </m:rPr>
          <m:t>≥</m:t>
        </m:r>
        <m:sSub>
          <m:e>
            <m:r>
              <m:t>Δ</m:t>
            </m:r>
          </m:e>
          <m:sub>
            <m:r>
              <m:rPr>
                <m:sty m:val="p"/>
              </m:rPr>
              <m:t>t</m:t>
            </m:r>
            <m:r>
              <m:rPr>
                <m:sty m:val="p"/>
              </m:rPr>
              <m:t>o</m:t>
            </m:r>
            <m:r>
              <m:rPr>
                <m:sty m:val="p"/>
              </m:rPr>
              <m:t>t</m:t>
            </m:r>
          </m:sub>
        </m:sSub>
        <m:r>
          <m:rPr>
            <m:sty m:val="p"/>
          </m:rPr>
          <m:t>&gt;</m:t>
        </m:r>
        <m:r>
          <m:t>0</m:t>
        </m:r>
      </m:oMath>
      <w:r>
        <w:t xml:space="preserve">.</w:t>
      </w:r>
    </w:p>
    <w:p>
      <w:pPr>
        <w:pStyle w:val="BodyText"/>
      </w:pPr>
      <w:r>
        <w:t xml:space="preserve">Their exact negations are the corresponding strict inequalities below the stated margins. A confidence interval crossing a margin is inconclusive; non-significance is not equivalence. These are conditional model-class hypotheses, not derived theorems of physics. If a frame-distance estimand is chosen instead, it is a different operational hypothesis and receives a separate identifier and margin. One must not switch between the two after seeing results.</w:t>
      </w:r>
    </w:p>
    <w:p>
      <w:pPr>
        <w:pStyle w:val="BodyText"/>
      </w:pPr>
      <w:r>
        <w:t xml:space="preserve">The source family</w:t>
      </w:r>
      <w:r>
        <w:t xml:space="preserve"> </w:t>
      </w:r>
      <m:oMath>
        <m:sSub>
          <m:e>
            <m:r>
              <m:t>H</m:t>
            </m:r>
          </m:e>
          <m:sub>
            <m:r>
              <m:t>x</m:t>
            </m:r>
          </m:sub>
        </m:sSub>
        <m:r>
          <m:rPr>
            <m:sty m:val="p"/>
          </m:rPr>
          <m:t>=</m:t>
        </m:r>
        <m:sSub>
          <m:e>
            <m:r>
              <m:t>H</m:t>
            </m:r>
          </m:e>
          <m:sub>
            <m:r>
              <m:t>S</m:t>
            </m:r>
          </m:sub>
        </m:sSub>
        <m:r>
          <m:rPr>
            <m:sty m:val="p"/>
          </m:rPr>
          <m:t>+</m:t>
        </m:r>
        <m:sSup>
          <m:e>
            <m:r>
              <m:rPr>
                <m:sty m:val="p"/>
              </m:rPr>
              <m:t>(</m:t>
            </m:r>
            <m:r>
              <m:rPr>
                <m:sty m:val="p"/>
              </m:rPr>
              <m:t>−</m:t>
            </m:r>
            <m:r>
              <m:t>1</m:t>
            </m:r>
            <m:r>
              <m:rPr>
                <m:sty m:val="p"/>
              </m:rPr>
              <m:t>)</m:t>
            </m:r>
          </m:e>
          <m:sup>
            <m:r>
              <m:t>x</m:t>
            </m:r>
          </m:sup>
        </m:sSup>
        <m:sSub>
          <m:e>
            <m:r>
              <m:t>K</m:t>
            </m:r>
          </m:e>
          <m:sub>
            <m:r>
              <m:rPr>
                <m:sty m:val="p"/>
              </m:rPr>
              <m:t>C</m:t>
            </m:r>
          </m:sub>
        </m:sSub>
      </m:oMath>
      <w:r>
        <w:t xml:space="preserve"> </w:t>
      </w:r>
      <w:r>
        <w:t xml:space="preserve">distinguishes internal locality from branchwise total locality. The latter averages separately normalised branch residuals. It is not necessarily the same as a single residual of the joint source-system Hamiltonian: that extension needs its own source-access convention and normalisation. A coupling-dominated example can make LRA-tot descriptively favourable almost by construction. Intermediate</w:t>
      </w:r>
      <w:r>
        <w:t xml:space="preserve"> </w:t>
      </w:r>
      <m:oMath>
        <m:r>
          <m:t>κ</m:t>
        </m:r>
        <m:r>
          <m:rPr>
            <m:sty m:val="p"/>
          </m:rPr>
          <m:t>=</m:t>
        </m:r>
        <m:r>
          <m:rPr>
            <m:sty m:val="p"/>
          </m:rPr>
          <m:t>∥</m:t>
        </m:r>
        <m:sSub>
          <m:e>
            <m:r>
              <m:t>H</m:t>
            </m:r>
          </m:e>
          <m:sub>
            <m:r>
              <m:t>S</m:t>
            </m:r>
          </m:sub>
        </m:sSub>
        <m:sSub>
          <m:e>
            <m:r>
              <m:rPr>
                <m:sty m:val="p"/>
              </m:rPr>
              <m:t>∥</m:t>
            </m:r>
          </m:e>
          <m:sub>
            <m:r>
              <m:rPr>
                <m:sty m:val="p"/>
              </m:rPr>
              <m:t>H</m:t>
            </m:r>
            <m:r>
              <m:rPr>
                <m:sty m:val="p"/>
              </m:rPr>
              <m:t>S</m:t>
            </m:r>
          </m:sub>
        </m:sSub>
        <m:r>
          <m:rPr>
            <m:sty m:val="p"/>
          </m:rPr>
          <m:t>/</m:t>
        </m:r>
        <m:r>
          <m:rPr>
            <m:sty m:val="p"/>
          </m:rPr>
          <m:t>∥</m:t>
        </m:r>
        <m:sSub>
          <m:e>
            <m:r>
              <m:t>K</m:t>
            </m:r>
          </m:e>
          <m:sub>
            <m:r>
              <m:rPr>
                <m:sty m:val="p"/>
              </m:rPr>
              <m:t>C</m:t>
            </m:r>
          </m:sub>
        </m:sSub>
        <m:sSub>
          <m:e>
            <m:r>
              <m:rPr>
                <m:sty m:val="p"/>
              </m:rPr>
              <m:t>∥</m:t>
            </m:r>
          </m:e>
          <m:sub>
            <m:r>
              <m:rPr>
                <m:sty m:val="p"/>
              </m:rPr>
              <m:t>H</m:t>
            </m:r>
            <m:r>
              <m:rPr>
                <m:sty m:val="p"/>
              </m:rPr>
              <m:t>S</m:t>
            </m:r>
          </m:sub>
        </m:sSub>
      </m:oMath>
      <w:r>
        <w:t xml:space="preserve"> </w:t>
      </w:r>
      <w:r>
        <w:t xml:space="preserve">and independent frame variation are therefore useful stress regimes, not guarantees of physical novelty.</w:t>
      </w:r>
    </w:p>
    <w:bookmarkEnd w:id="59"/>
    <w:bookmarkStart w:id="60" w:name="Xbfe51753ac5fce77f3ad10923277d14418419c1"/>
    <w:p>
      <w:pPr>
        <w:pStyle w:val="Heading2"/>
      </w:pPr>
      <w:r>
        <w:t xml:space="preserve">7.1.1 Source injection and subsequent redistribution are different questions</w:t>
      </w:r>
    </w:p>
    <w:p>
      <w:pPr>
        <w:pStyle w:val="FirstParagraph"/>
      </w:pPr>
      <w:r>
        <w:t xml:space="preserve">For a common initial state</w:t>
      </w:r>
      <w:r>
        <w:t xml:space="preserve"> </w:t>
      </w:r>
      <m:oMath>
        <m:r>
          <m:t>ρ</m:t>
        </m:r>
        <m:r>
          <m:rPr>
            <m:sty m:val="p"/>
          </m:rPr>
          <m:t>(</m:t>
        </m:r>
        <m:r>
          <m:t>0</m:t>
        </m:r>
        <m:r>
          <m:rPr>
            <m:sty m:val="p"/>
          </m:rPr>
          <m:t>)</m:t>
        </m:r>
      </m:oMath>
      <w:r>
        <w:t xml:space="preserve"> </w:t>
      </w:r>
      <w:r>
        <w:t xml:space="preserve">and</w:t>
      </w:r>
      <w:r>
        <w:t xml:space="preserve"> </w:t>
      </w:r>
      <m:oMath>
        <m:sSub>
          <m:e>
            <m:r>
              <m:t>H</m:t>
            </m:r>
          </m:e>
          <m:sub>
            <m:r>
              <m:t>x</m:t>
            </m:r>
          </m:sub>
        </m:sSub>
        <m:r>
          <m:rPr>
            <m:sty m:val="p"/>
          </m:rPr>
          <m:t>=</m:t>
        </m:r>
        <m:sSub>
          <m:e>
            <m:r>
              <m:t>H</m:t>
            </m:r>
          </m:e>
          <m:sub>
            <m:r>
              <m:t>S</m:t>
            </m:r>
          </m:sub>
        </m:sSub>
        <m:r>
          <m:rPr>
            <m:sty m:val="p"/>
          </m:rPr>
          <m:t>+</m:t>
        </m:r>
        <m:sSub>
          <m:e>
            <m:r>
              <m:t>K</m:t>
            </m:r>
          </m:e>
          <m:sub>
            <m:r>
              <m:t>x</m:t>
            </m:r>
          </m:sub>
        </m:sSub>
      </m:oMath>
      <w:r>
        <w:t xml:space="preserve">,</w:t>
      </w:r>
    </w:p>
    <w:p>
      <w:pPr>
        <w:pStyle w:val="BodyText"/>
      </w:pPr>
      <m:oMathPara>
        <m:oMathParaPr>
          <m:jc m:val="center"/>
        </m:oMathParaPr>
        <m:oMath>
          <m:sSub>
            <m:e>
              <m:f>
                <m:fPr>
                  <m:type m:val="bar"/>
                </m:fPr>
                <m:num>
                  <m:r>
                    <m:t>d</m:t>
                  </m:r>
                </m:num>
                <m:den>
                  <m:r>
                    <m:t>d</m:t>
                  </m:r>
                  <m:r>
                    <m:t>t</m:t>
                  </m:r>
                </m:den>
              </m:f>
              <m:r>
                <m:rPr>
                  <m:sty m:val="p"/>
                </m:rPr>
                <m:t>(</m:t>
              </m:r>
              <m:sSub>
                <m:e>
                  <m:r>
                    <m:t>ρ</m:t>
                  </m:r>
                </m:e>
                <m:sub>
                  <m:r>
                    <m:t>0</m:t>
                  </m:r>
                </m:sub>
              </m:sSub>
              <m:r>
                <m:rPr>
                  <m:sty m:val="p"/>
                </m:rPr>
                <m:t>−</m:t>
              </m:r>
              <m:sSub>
                <m:e>
                  <m:r>
                    <m:t>ρ</m:t>
                  </m:r>
                </m:e>
                <m:sub>
                  <m:r>
                    <m:t>1</m:t>
                  </m:r>
                </m:sub>
              </m:sSub>
              <m:r>
                <m:rPr>
                  <m:sty m:val="p"/>
                </m:rPr>
                <m:t>)</m:t>
              </m:r>
              <m:r>
                <m:rPr>
                  <m:sty m:val="p"/>
                </m:rPr>
                <m:t>∣</m:t>
              </m:r>
            </m:e>
            <m:sub>
              <m:r>
                <m:t>0</m:t>
              </m:r>
            </m:sub>
          </m:sSub>
          <m:r>
            <m:rPr>
              <m:sty m:val="p"/>
            </m:rPr>
            <m:t>=</m:t>
          </m:r>
          <m:r>
            <m:rPr>
              <m:sty m:val="p"/>
            </m:rPr>
            <m:t>−</m:t>
          </m:r>
          <m:r>
            <m:t>i</m:t>
          </m:r>
          <m:r>
            <m:rPr>
              <m:sty m:val="p"/>
            </m:rPr>
            <m:t>[</m:t>
          </m:r>
          <m:sSub>
            <m:e>
              <m:r>
                <m:t>K</m:t>
              </m:r>
            </m:e>
            <m:sub>
              <m:r>
                <m:t>0</m:t>
              </m:r>
            </m:sub>
          </m:sSub>
          <m:r>
            <m:rPr>
              <m:sty m:val="p"/>
            </m:rPr>
            <m:t>−</m:t>
          </m:r>
          <m:sSub>
            <m:e>
              <m:r>
                <m:t>K</m:t>
              </m:r>
            </m:e>
            <m:sub>
              <m:r>
                <m:t>1</m:t>
              </m:r>
            </m:sub>
          </m:sSub>
          <m:r>
            <m:rPr>
              <m:sty m:val="p"/>
            </m:rPr>
            <m:t>,</m:t>
          </m:r>
          <m:r>
            <m:t>ρ</m:t>
          </m:r>
          <m:r>
            <m:rPr>
              <m:sty m:val="p"/>
            </m:rPr>
            <m:t>(</m:t>
          </m:r>
          <m:r>
            <m:t>0</m:t>
          </m:r>
          <m:r>
            <m:rPr>
              <m:sty m:val="p"/>
            </m:rPr>
            <m:t>)</m:t>
          </m:r>
          <m:r>
            <m:rPr>
              <m:sty m:val="p"/>
            </m:rPr>
            <m:t>]</m:t>
          </m:r>
          <m:r>
            <m:rPr>
              <m:sty m:val="p"/>
            </m:rPr>
            <m:t>.</m:t>
          </m:r>
        </m:oMath>
      </m:oMathPara>
    </w:p>
    <w:p>
      <w:pPr>
        <w:pStyle w:val="FirstParagraph"/>
      </w:pPr>
      <w:r>
        <w:t xml:space="preserve">The common internal generator cancels at first order. This identifies the source of the initial branch difference, not a theorem that one access frame wins at later times. Energy eigenstates selected as pointer states in a regime of weak system-environment interaction in which the system self-Hamiltonian dominates [Paz and Zurek 1999] are also not automatically redundant records of the particular external source bit used here.</w:t>
      </w:r>
    </w:p>
    <w:p>
      <w:pPr>
        <w:pStyle w:val="BodyText"/>
      </w:pPr>
      <w:r>
        <w:t xml:space="preserve">A source-off design separates the roles. After a stated injection pulse, set</w:t>
      </w:r>
      <w:r>
        <w:t xml:space="preserve"> </w:t>
      </w:r>
      <m:oMath>
        <m:sSub>
          <m:e>
            <m:r>
              <m:t>K</m:t>
            </m:r>
          </m:e>
          <m:sub>
            <m:r>
              <m:t>x</m:t>
            </m:r>
          </m:sub>
        </m:sSub>
        <m:r>
          <m:rPr>
            <m:sty m:val="p"/>
          </m:rPr>
          <m:t>=</m:t>
        </m:r>
        <m:r>
          <m:t>0</m:t>
        </m:r>
      </m:oMath>
      <w:r>
        <w:t xml:space="preserve"> </w:t>
      </w:r>
      <w:r>
        <w:t xml:space="preserve">and evolve both branches under the same</w:t>
      </w:r>
      <w:r>
        <w:t xml:space="preserve"> </w:t>
      </w:r>
      <m:oMath>
        <m:sSub>
          <m:e>
            <m:r>
              <m:t>H</m:t>
            </m:r>
          </m:e>
          <m:sub>
            <m:r>
              <m:t>S</m:t>
            </m:r>
          </m:sub>
        </m:sSub>
      </m:oMath>
      <w:r>
        <w:t xml:space="preserve">. Their global trace distance is conserved by that common unitary, while reduced distinguishability can increase, decrease or redistribute. Switching off the source does not remove the prepared imprint. Compare changes against a matched frozen-history control, disclose the supplied injection and readout structures, and distinguish transfer, local accessibility, redundant records and identification of an unknown TPS. The source-off pilot studies this different target, not a relabelling of LRA-count. Its factorial extension additionally varies the Hamiltonian orientation while retaining the specified injection.</w:t>
      </w:r>
    </w:p>
    <w:p>
      <w:pPr>
        <w:pStyle w:val="BodyText"/>
      </w:pPr>
      <w:r>
        <w:t xml:space="preserve">Small closed systems can have time-sensitive record windows, but closed dynamics do not preclude persistence: orthogonal stationary product records under a diagonal Hamiltonian remain readable. Conversely, dissipation with one common attractive fixed state can erase the branch distinction. Large size or openness alone is neither a necessary nor a sufficient record guarantee. Environmental many-body interactions can suppress redundancy under the assumptions of Riedel, Zurek and Zwolak (2012). The decoder, retention target and observation window must be specified in each model.</w:t>
      </w:r>
    </w:p>
    <w:bookmarkEnd w:id="60"/>
    <w:bookmarkStart w:id="61" w:name="what-an-independent-search-would-mean"/>
    <w:p>
      <w:pPr>
        <w:pStyle w:val="Heading2"/>
      </w:pPr>
      <w:r>
        <w:t xml:space="preserve">7.2 What an independent search would mean</w:t>
      </w:r>
    </w:p>
    <w:p>
      <w:pPr>
        <w:pStyle w:val="FirstParagraph"/>
      </w:pPr>
      <w:r>
        <w:t xml:space="preserve">The locality algorithm may see</w:t>
      </w:r>
      <w:r>
        <w:t xml:space="preserve"> </w:t>
      </w:r>
      <m:oMath>
        <m:r>
          <m:t>H</m:t>
        </m:r>
      </m:oMath>
      <w:r>
        <w:t xml:space="preserve"> </w:t>
      </w:r>
      <w:r>
        <w:t xml:space="preserve">and declared admissibility data, but not record scores. The record algorithm may see conditional states, source and access rules, but not locality scores. Each uses a prospectively fixed optimisation budget and independent random starts. Informational separation of algorithms does not remove shared physical inputs, nor does it prove that either output is a global optimum.</w:t>
      </w:r>
    </w:p>
    <w:p>
      <w:pPr>
        <w:pStyle w:val="BodyText"/>
      </w:pPr>
      <w:r>
        <w:t xml:space="preserve">Use multi-start sets rather than pretend there is one unique best frame. Apply an absolute record floor to the original persistent-record target even when a smooth surrogate drives optimisation. A failed search is SEARCH_UNRESOLVED, while a verified absence of qualifying records is NO_RECORD. They have different interpretations and neither supplies a fabricated optimal record frame. Training on some times or histories requires held-out evaluation, and any state-adaptive search lies outside Proposition 3’s fixed-frame union bound.</w:t>
      </w:r>
    </w:p>
    <w:bookmarkEnd w:id="61"/>
    <w:bookmarkStart w:id="62" w:name="X3275bd930dca3ea43aca44c9637408131bd9b6f"/>
    <w:p>
      <w:pPr>
        <w:pStyle w:val="Heading2"/>
      </w:pPr>
      <w:r>
        <w:t xml:space="preserve">7.3 Primary prospective target: within-model record contrast</w:t>
      </w:r>
    </w:p>
    <w:p>
      <w:pPr>
        <w:pStyle w:val="FirstParagraph"/>
      </w:pPr>
      <w:r>
        <w:t xml:space="preserve">The prospective LRA-count design compares declared frames within each model rather than re-pairing frames across models. It is retained as an unexecuted target, not the primary outcome of the source-off pilot. This is a change of estimand, not a confirmation or falsification of LRA-int or LRA-tot. Let</w:t>
      </w:r>
      <w:r>
        <w:t xml:space="preserve"> </w:t>
      </w:r>
      <m:oMath>
        <m:r>
          <m:t>E</m:t>
        </m:r>
      </m:oMath>
      <w:r>
        <w:t xml:space="preserve"> </w:t>
      </w:r>
      <w:r>
        <w:t xml:space="preserve">denote an input-only eligibility condition, such as separation of the reference frames by a stated</w:t>
      </w:r>
      <w:r>
        <w:t xml:space="preserve"> </w:t>
      </w:r>
      <m:oMath>
        <m:r>
          <m:t>Φ</m:t>
        </m:r>
      </m:oMath>
      <w:r>
        <w:t xml:space="preserve"> </w:t>
      </w:r>
      <w:r>
        <w:t xml:space="preserve">threshold. For eligible units use</w:t>
      </w:r>
    </w:p>
    <w:p>
      <w:pPr>
        <w:pStyle w:val="BodyText"/>
      </w:pPr>
      <m:oMathPara>
        <m:oMathParaPr>
          <m:jc m:val="center"/>
        </m:oMathParaPr>
        <m:oMath>
          <m:sSub>
            <m:e>
              <m:r>
                <m:t>Z</m:t>
              </m:r>
            </m:e>
            <m:sub>
              <m:r>
                <m:t>i</m:t>
              </m:r>
            </m:sub>
          </m:sSub>
          <m:r>
            <m:rPr>
              <m:sty m:val="p"/>
            </m:rPr>
            <m:t>=</m:t>
          </m:r>
          <m:f>
            <m:fPr>
              <m:type m:val="bar"/>
            </m:fPr>
            <m:num>
              <m:sSub>
                <m:e>
                  <m:r>
                    <m:t>R</m:t>
                  </m:r>
                </m:e>
                <m:sub>
                  <m:r>
                    <m:rPr>
                      <m:sty m:val="p"/>
                    </m:rPr>
                    <m:t>n</m:t>
                  </m:r>
                  <m:r>
                    <m:rPr>
                      <m:sty m:val="p"/>
                    </m:rPr>
                    <m:t>e</m:t>
                  </m:r>
                  <m:r>
                    <m:rPr>
                      <m:sty m:val="p"/>
                    </m:rPr>
                    <m:t>w</m:t>
                  </m:r>
                </m:sub>
              </m:sSub>
              <m:r>
                <m:rPr>
                  <m:sty m:val="p"/>
                </m:rPr>
                <m:t>(</m:t>
              </m:r>
              <m:sSub>
                <m:e>
                  <m:r>
                    <m:t>D</m:t>
                  </m:r>
                </m:e>
                <m:sub>
                  <m:r>
                    <m:t>L</m:t>
                  </m:r>
                  <m:r>
                    <m:rPr>
                      <m:sty m:val="p"/>
                    </m:rPr>
                    <m:t>,</m:t>
                  </m:r>
                  <m:r>
                    <m:rPr>
                      <m:sty m:val="p"/>
                    </m:rPr>
                    <m:t>r</m:t>
                  </m:r>
                  <m:r>
                    <m:rPr>
                      <m:sty m:val="p"/>
                    </m:rPr>
                    <m:t>e</m:t>
                  </m:r>
                  <m:r>
                    <m:rPr>
                      <m:sty m:val="p"/>
                    </m:rPr>
                    <m:t>f</m:t>
                  </m:r>
                </m:sub>
              </m:sSub>
              <m:r>
                <m:rPr>
                  <m:sty m:val="p"/>
                </m:rPr>
                <m:t>(</m:t>
              </m:r>
              <m:r>
                <m:t>i</m:t>
              </m:r>
              <m:r>
                <m:rPr>
                  <m:sty m:val="p"/>
                </m:rPr>
                <m:t>)</m:t>
              </m:r>
              <m:r>
                <m:rPr>
                  <m:sty m:val="p"/>
                </m:rPr>
                <m:t>)</m:t>
              </m:r>
              <m:r>
                <m:rPr>
                  <m:sty m:val="p"/>
                </m:rPr>
                <m:t>−</m:t>
              </m:r>
              <m:sSub>
                <m:e>
                  <m:r>
                    <m:t>R</m:t>
                  </m:r>
                </m:e>
                <m:sub>
                  <m:r>
                    <m:rPr>
                      <m:sty m:val="p"/>
                    </m:rPr>
                    <m:t>n</m:t>
                  </m:r>
                  <m:r>
                    <m:rPr>
                      <m:sty m:val="p"/>
                    </m:rPr>
                    <m:t>e</m:t>
                  </m:r>
                  <m:r>
                    <m:rPr>
                      <m:sty m:val="p"/>
                    </m:rPr>
                    <m:t>w</m:t>
                  </m:r>
                </m:sub>
              </m:sSub>
              <m:r>
                <m:rPr>
                  <m:sty m:val="p"/>
                </m:rPr>
                <m:t>(</m:t>
              </m:r>
              <m:sSub>
                <m:e>
                  <m:r>
                    <m:t>D</m:t>
                  </m:r>
                </m:e>
                <m:sub>
                  <m:r>
                    <m:t>C</m:t>
                  </m:r>
                  <m:r>
                    <m:rPr>
                      <m:sty m:val="p"/>
                    </m:rPr>
                    <m:t>,</m:t>
                  </m:r>
                  <m:r>
                    <m:rPr>
                      <m:sty m:val="p"/>
                    </m:rPr>
                    <m:t>r</m:t>
                  </m:r>
                  <m:r>
                    <m:rPr>
                      <m:sty m:val="p"/>
                    </m:rPr>
                    <m:t>e</m:t>
                  </m:r>
                  <m:r>
                    <m:rPr>
                      <m:sty m:val="p"/>
                    </m:rPr>
                    <m:t>f</m:t>
                  </m:r>
                </m:sub>
              </m:sSub>
              <m:r>
                <m:rPr>
                  <m:sty m:val="p"/>
                </m:rPr>
                <m:t>(</m:t>
              </m:r>
              <m:r>
                <m:t>i</m:t>
              </m:r>
              <m:r>
                <m:rPr>
                  <m:sty m:val="p"/>
                </m:rPr>
                <m:t>)</m:t>
              </m:r>
              <m:r>
                <m:rPr>
                  <m:sty m:val="p"/>
                </m:rPr>
                <m:t>)</m:t>
              </m:r>
            </m:num>
            <m:den>
              <m:sSub>
                <m:e>
                  <m:r>
                    <m:t>m</m:t>
                  </m:r>
                </m:e>
                <m:sub>
                  <m:r>
                    <m:rPr>
                      <m:sty m:val="p"/>
                      <m:nor m:val="1"/>
                    </m:rPr>
                    <w:rPr>
                      <w:i w:val="0"/>
                    </w:rPr>
                    <m:t>max</m:t>
                  </m:r>
                </m:sub>
              </m:sSub>
            </m:den>
          </m:f>
          <m:r>
            <m:rPr>
              <m:sty m:val="p"/>
            </m:rPr>
            <m:t>,</m:t>
          </m:r>
          <m:r>
            <m:t>  </m:t>
          </m:r>
          <m:sSub>
            <m:e>
              <m:r>
                <m:t>θ</m:t>
              </m:r>
            </m:e>
            <m:sub>
              <m:r>
                <m:t>L</m:t>
              </m:r>
              <m:r>
                <m:t>C</m:t>
              </m:r>
            </m:sub>
          </m:sSub>
          <m:r>
            <m:rPr>
              <m:sty m:val="p"/>
            </m:rPr>
            <m:t>=</m:t>
          </m:r>
          <m:r>
            <m:rPr>
              <m:sty m:val="p"/>
              <m:scr m:val="double-struck"/>
            </m:rPr>
            <m:t>E</m:t>
          </m:r>
          <m:r>
            <m:rPr>
              <m:sty m:val="p"/>
            </m:rPr>
            <m:t>[</m:t>
          </m:r>
          <m:sSub>
            <m:e>
              <m:r>
                <m:t>Z</m:t>
              </m:r>
            </m:e>
            <m:sub>
              <m:r>
                <m:t>i</m:t>
              </m:r>
            </m:sub>
          </m:sSub>
          <m:r>
            <m:rPr>
              <m:sty m:val="p"/>
            </m:rPr>
            <m:t>∣</m:t>
          </m:r>
          <m:r>
            <m:t>E</m:t>
          </m:r>
          <m:r>
            <m:rPr>
              <m:sty m:val="p"/>
            </m:rPr>
            <m:t>=</m:t>
          </m:r>
          <m:r>
            <m:t>1</m:t>
          </m:r>
          <m:r>
            <m:rPr>
              <m:sty m:val="p"/>
            </m:rPr>
            <m:t>]</m:t>
          </m:r>
          <m:r>
            <m:rPr>
              <m:sty m:val="p"/>
            </m:rPr>
            <m:t>.</m:t>
          </m:r>
        </m:oMath>
      </m:oMathPara>
    </w:p>
    <w:p>
      <w:pPr>
        <w:pStyle w:val="FirstParagraph"/>
      </w:pPr>
      <w:r>
        <w:t xml:space="preserve">The common predeclared cap</w:t>
      </w:r>
      <w:r>
        <w:t xml:space="preserve"> </w:t>
      </w:r>
      <m:oMath>
        <m:sSub>
          <m:e>
            <m:r>
              <m:t>m</m:t>
            </m:r>
          </m:e>
          <m:sub>
            <m:r>
              <m:rPr>
                <m:sty m:val="p"/>
                <m:nor m:val="1"/>
              </m:rPr>
              <w:rPr>
                <w:i w:val="0"/>
              </w:rPr>
              <m:t>max</m:t>
            </m:r>
          </m:sub>
        </m:sSub>
      </m:oMath>
      <w:r>
        <w:t xml:space="preserve"> </w:t>
      </w:r>
      <w:r>
        <w:t xml:space="preserve">bounds the admissible disjoint-fragment count. In a singleton study it equals the system-site count. It must not be changed after seeing the records. A reference frame is supplied by the model construction or computed from inputs without record scores. It is not called a unique global optimum unless that is established. In particular the native internal-locality frame need not minimize the total Hamiltonian score. Nonunique references require a predeclared selector, a near-optimal-set sensitivity analysis, or an explicitly supplied-frame interpretation.</w:t>
      </w:r>
    </w:p>
    <w:p>
      <w:pPr>
        <w:pStyle w:val="BodyText"/>
      </w:pPr>
      <w:r>
        <w:t xml:space="preserve">The count difference asks how much qualified information distribution differs; the sign contrast</w:t>
      </w:r>
      <w:r>
        <w:t xml:space="preserve"> </w:t>
      </w:r>
      <m:oMath>
        <m:r>
          <m:rPr>
            <m:sty m:val="p"/>
            <m:scr m:val="double-struck"/>
          </m:rPr>
          <m:t>E</m:t>
        </m:r>
        <m:r>
          <m:rPr>
            <m:sty m:val="p"/>
          </m:rPr>
          <m:t>[</m:t>
        </m:r>
        <m:r>
          <m:rPr>
            <m:sty m:val="p"/>
            <m:nor m:val="1"/>
          </m:rPr>
          <w:rPr>
            <w:i w:val="0"/>
          </w:rPr>
          <m:t>sgn</m:t>
        </m:r>
        <m:r>
          <m:rPr>
            <m:sty m:val="p"/>
          </m:rPr>
          <m:t>(</m:t>
        </m:r>
        <m:sSub>
          <m:e>
            <m:r>
              <m:t>R</m:t>
            </m:r>
          </m:e>
          <m:sub>
            <m:r>
              <m:t>L</m:t>
            </m:r>
          </m:sub>
        </m:sSub>
        <m:r>
          <m:rPr>
            <m:sty m:val="p"/>
          </m:rPr>
          <m:t>−</m:t>
        </m:r>
        <m:sSub>
          <m:e>
            <m:r>
              <m:t>R</m:t>
            </m:r>
          </m:e>
          <m:sub>
            <m:r>
              <m:t>C</m:t>
            </m:r>
          </m:sub>
        </m:sSub>
        <m:r>
          <m:rPr>
            <m:sty m:val="p"/>
          </m:rPr>
          <m:t>)</m:t>
        </m:r>
        <m:r>
          <m:rPr>
            <m:sty m:val="p"/>
          </m:rPr>
          <m:t>∣</m:t>
        </m:r>
        <m:r>
          <m:t>E</m:t>
        </m:r>
        <m:r>
          <m:rPr>
            <m:sty m:val="p"/>
          </m:rPr>
          <m:t>=</m:t>
        </m:r>
        <m:r>
          <m:t>1</m:t>
        </m:r>
        <m:r>
          <m:rPr>
            <m:sty m:val="p"/>
          </m:rPr>
          <m:t>]</m:t>
        </m:r>
      </m:oMath>
      <w:r>
        <w:t xml:space="preserve"> </w:t>
      </w:r>
      <w:r>
        <w:t xml:space="preserve">asks how often one frame wins. Both are legitimate but different questions. This unexecuted proposal selects normalized count difference and retains win/loss/tie frequencies as secondary diagnostics. Neither is a causal effect merely because it is called frame attribution.</w:t>
      </w:r>
    </w:p>
    <w:p>
      <w:pPr>
        <w:pStyle w:val="BodyText"/>
      </w:pPr>
      <w:r>
        <w:t xml:space="preserve">No-record units remain in the primary denominator with</w:t>
      </w:r>
      <w:r>
        <w:t xml:space="preserve"> </w:t>
      </w:r>
      <m:oMath>
        <m:sSub>
          <m:e>
            <m:r>
              <m:t>Z</m:t>
            </m:r>
          </m:e>
          <m:sub>
            <m:r>
              <m:t>i</m:t>
            </m:r>
          </m:sub>
        </m:sSub>
        <m:r>
          <m:rPr>
            <m:sty m:val="p"/>
          </m:rPr>
          <m:t>=</m:t>
        </m:r>
        <m:r>
          <m:t>0</m:t>
        </m:r>
      </m:oMath>
      <w:r>
        <w:t xml:space="preserve"> </w:t>
      </w:r>
      <w:r>
        <w:t xml:space="preserve">when absence is established. Define a companion formation indicator using existence of newly qualifying records in the declared union of reference-frame fragment sets. Report its rate on both the complete generated population and the input-eligible population. A formation-conditional contrast is explicitly secondary. When that formation event</w:t>
      </w:r>
      <w:r>
        <w:t xml:space="preserve"> </w:t>
      </w:r>
      <m:oMath>
        <m:r>
          <m:t>B</m:t>
        </m:r>
      </m:oMath>
      <w:r>
        <w:t xml:space="preserve"> </w:t>
      </w:r>
      <w:r>
        <w:t xml:space="preserve">contains every unit with</w:t>
      </w:r>
      <w:r>
        <w:t xml:space="preserve"> </w:t>
      </w:r>
      <m:oMath>
        <m:sSub>
          <m:e>
            <m:r>
              <m:t>Z</m:t>
            </m:r>
          </m:e>
          <m:sub>
            <m:r>
              <m:t>i</m:t>
            </m:r>
          </m:sub>
        </m:sSub>
        <m:r>
          <m:rPr>
            <m:sty m:val="p"/>
          </m:rPr>
          <m:t>≠</m:t>
        </m:r>
        <m:r>
          <m:t>0</m:t>
        </m:r>
      </m:oMath>
      <w:r>
        <w:t xml:space="preserve">,</w:t>
      </w:r>
    </w:p>
    <w:p>
      <w:pPr>
        <w:pStyle w:val="BodyText"/>
      </w:pPr>
      <m:oMathPara>
        <m:oMathParaPr>
          <m:jc m:val="center"/>
        </m:oMathParaPr>
        <m:oMath>
          <m:r>
            <m:rPr>
              <m:sty m:val="p"/>
              <m:scr m:val="double-struck"/>
            </m:rPr>
            <m:t>E</m:t>
          </m:r>
          <m:r>
            <m:rPr>
              <m:sty m:val="p"/>
            </m:rPr>
            <m:t>[</m:t>
          </m:r>
          <m:r>
            <m:t>Z</m:t>
          </m:r>
          <m:r>
            <m:rPr>
              <m:sty m:val="p"/>
            </m:rPr>
            <m:t>∣</m:t>
          </m:r>
          <m:r>
            <m:t>E</m:t>
          </m:r>
          <m:r>
            <m:rPr>
              <m:sty m:val="p"/>
            </m:rPr>
            <m:t>=</m:t>
          </m:r>
          <m:r>
            <m:t>1</m:t>
          </m:r>
          <m:r>
            <m:rPr>
              <m:sty m:val="p"/>
            </m:rPr>
            <m:t>]</m:t>
          </m:r>
          <m:r>
            <m:rPr>
              <m:sty m:val="p"/>
            </m:rPr>
            <m:t>=</m:t>
          </m:r>
          <m:r>
            <m:rPr>
              <m:sty m:val="p"/>
              <m:nor m:val="1"/>
            </m:rPr>
            <w:rPr>
              <w:i w:val="0"/>
            </w:rPr>
            <m:t>Pr</m:t>
          </m:r>
          <m:r>
            <m:rPr>
              <m:sty m:val="p"/>
            </m:rPr>
            <m:t>(</m:t>
          </m:r>
          <m:r>
            <m:t>B</m:t>
          </m:r>
          <m:r>
            <m:rPr>
              <m:sty m:val="p"/>
            </m:rPr>
            <m:t>∣</m:t>
          </m:r>
          <m:r>
            <m:t>E</m:t>
          </m:r>
          <m:r>
            <m:rPr>
              <m:sty m:val="p"/>
            </m:rPr>
            <m:t>=</m:t>
          </m:r>
          <m:r>
            <m:t>1</m:t>
          </m:r>
          <m:r>
            <m:rPr>
              <m:sty m:val="p"/>
            </m:rPr>
            <m:t>)</m:t>
          </m:r>
          <m:r>
            <m:t> </m:t>
          </m:r>
          <m:r>
            <m:rPr>
              <m:sty m:val="p"/>
              <m:scr m:val="double-struck"/>
            </m:rPr>
            <m:t>E</m:t>
          </m:r>
          <m:r>
            <m:rPr>
              <m:sty m:val="p"/>
            </m:rPr>
            <m:t>[</m:t>
          </m:r>
          <m:r>
            <m:t>Z</m:t>
          </m:r>
          <m:r>
            <m:rPr>
              <m:sty m:val="p"/>
            </m:rPr>
            <m:t>∣</m:t>
          </m:r>
          <m:r>
            <m:t>E</m:t>
          </m:r>
          <m:r>
            <m:rPr>
              <m:sty m:val="p"/>
            </m:rPr>
            <m:t>=</m:t>
          </m:r>
          <m:r>
            <m:t>1</m:t>
          </m:r>
          <m:r>
            <m:rPr>
              <m:sty m:val="p"/>
            </m:rPr>
            <m:t>,</m:t>
          </m:r>
          <m:r>
            <m:t>B</m:t>
          </m:r>
          <m:r>
            <m:rPr>
              <m:sty m:val="p"/>
            </m:rPr>
            <m:t>=</m:t>
          </m:r>
          <m:r>
            <m:t>1</m:t>
          </m:r>
          <m:r>
            <m:rPr>
              <m:sty m:val="p"/>
            </m:rPr>
            <m:t>]</m:t>
          </m:r>
          <m:r>
            <m:rPr>
              <m:sty m:val="p"/>
            </m:rPr>
            <m:t>.</m:t>
          </m:r>
        </m:oMath>
      </m:oMathPara>
    </w:p>
    <w:p>
      <w:pPr>
        <w:pStyle w:val="FirstParagraph"/>
      </w:pPr>
      <w:r>
        <w:t xml:space="preserve">Dropping zero-record units therefore changes the magnitude and scientific target. Reference frames remain evaluable even when no record optimum exists. Search failure and unresolved numerical certification are not assigned zero.</w:t>
      </w:r>
    </w:p>
    <w:p>
      <w:pPr>
        <w:pStyle w:val="BodyText"/>
      </w:pPr>
      <w:r>
        <w:t xml:space="preserve">Each within-unit comparison is invariant under a consistent common conjugation of its history and access descriptions. This removes cross-model registration and permutation assumptions, but not the need for independent sampling, justified model relevance, resource accounting, fixed thresholds, or honest treatment of uncertainty. A model prepared and coupled in its own reference frame can still favour that frame by design. Separation thresholds and failure of a sufficient perturbation certificate do not prove that a cell is informative.</w:t>
      </w:r>
    </w:p>
    <w:p>
      <w:pPr>
        <w:pStyle w:val="BodyText"/>
      </w:pPr>
      <w:r>
        <w:t xml:space="preserve">For a frozen implementation, LRA-count(</w:t>
      </w:r>
      <m:oMath>
        <m:r>
          <m:t>Θ</m:t>
        </m:r>
      </m:oMath>
      <w:r>
        <w:t xml:space="preserve">) is</w:t>
      </w:r>
      <w:r>
        <w:t xml:space="preserve"> </w:t>
      </w:r>
      <m:oMath>
        <m:sSub>
          <m:e>
            <m:r>
              <m:t>θ</m:t>
            </m:r>
          </m:e>
          <m:sub>
            <m:r>
              <m:t>L</m:t>
            </m:r>
            <m:r>
              <m:t>C</m:t>
            </m:r>
          </m:sub>
        </m:sSub>
        <m:r>
          <m:rPr>
            <m:sty m:val="p"/>
          </m:rPr>
          <m:t>≥</m:t>
        </m:r>
        <m:r>
          <m:t>Δ</m:t>
        </m:r>
        <m:r>
          <m:rPr>
            <m:sty m:val="p"/>
          </m:rPr>
          <m:t>&gt;</m:t>
        </m:r>
        <m:r>
          <m:t>0</m:t>
        </m:r>
      </m:oMath>
      <w:r>
        <w:t xml:space="preserve">, with negation</w:t>
      </w:r>
      <w:r>
        <w:t xml:space="preserve"> </w:t>
      </w:r>
      <m:oMath>
        <m:sSub>
          <m:e>
            <m:r>
              <m:t>θ</m:t>
            </m:r>
          </m:e>
          <m:sub>
            <m:r>
              <m:t>L</m:t>
            </m:r>
            <m:r>
              <m:t>C</m:t>
            </m:r>
          </m:sub>
        </m:sSub>
        <m:r>
          <m:rPr>
            <m:sty m:val="p"/>
          </m:rPr>
          <m:t>&lt;</m:t>
        </m:r>
        <m:r>
          <m:t>Δ</m:t>
        </m:r>
      </m:oMath>
      <w:r>
        <w:t xml:space="preserve">. The sampled class, eligibility law, primary cell, cap, margin and formation diagnostic must be specified before the held-out run. A fully specified negative result counts against this model-class contrast, not every relational ontology. Cross-model pairing remains only a conditional alternative with the explicit contract in the supplement; its counterexamples in Section 5.6 remain valid.</w:t>
      </w:r>
    </w:p>
    <w:bookmarkEnd w:id="62"/>
    <w:bookmarkStart w:id="63" w:name="X80bcddef607e4c04e10eef414a45d7fe37cec3c"/>
    <w:p>
      <w:pPr>
        <w:pStyle w:val="Heading2"/>
      </w:pPr>
      <w:r>
        <w:t xml:space="preserve">7.3.1 Certification uncertainty must not become a frame advantage</w:t>
      </w:r>
    </w:p>
    <w:p>
      <w:pPr>
        <w:pStyle w:val="FirstParagraph"/>
      </w:pPr>
      <w:r>
        <w:t xml:space="preserve">A local reference may have a smaller continuity constant than a scrambled reference. On the same coarse grid, more fragments can then be certified in the local frame even if their true persistent-record counts coincide. That is a property of the certification procedure, not necessarily of the physics. For example, true constant error</w:t>
      </w:r>
      <w:r>
        <w:t xml:space="preserve"> </w:t>
      </w:r>
      <m:oMath>
        <m:r>
          <m:t>0.099</m:t>
        </m:r>
      </m:oMath>
      <w:r>
        <w:t xml:space="preserve"> </w:t>
      </w:r>
      <w:r>
        <w:t xml:space="preserve">is below a</w:t>
      </w:r>
      <w:r>
        <w:t xml:space="preserve"> </w:t>
      </w:r>
      <m:oMath>
        <m:r>
          <m:t>0.1</m:t>
        </m:r>
      </m:oMath>
      <w:r>
        <w:t xml:space="preserve"> </w:t>
      </w:r>
      <w:r>
        <w:t xml:space="preserve">threshold in both frames. A spacing</w:t>
      </w:r>
      <w:r>
        <w:t xml:space="preserve"> </w:t>
      </w:r>
      <m:oMath>
        <m:r>
          <m:t>0.01</m:t>
        </m:r>
      </m:oMath>
      <w:r>
        <w:t xml:space="preserve"> </w:t>
      </w:r>
      <w:r>
        <w:t xml:space="preserve">and valid constants</w:t>
      </w:r>
      <w:r>
        <w:t xml:space="preserve"> </w:t>
      </w:r>
      <m:oMath>
        <m:r>
          <m:t>0.1</m:t>
        </m:r>
      </m:oMath>
      <w:r>
        <w:t xml:space="preserve"> </w:t>
      </w:r>
      <w:r>
        <w:t xml:space="preserve">and</w:t>
      </w:r>
      <w:r>
        <w:t xml:space="preserve"> </w:t>
      </w:r>
      <m:oMath>
        <m:r>
          <m:t>1</m:t>
        </m:r>
      </m:oMath>
      <w:r>
        <w:t xml:space="preserve"> </w:t>
      </w:r>
      <w:r>
        <w:t xml:space="preserve">give upper certificates</w:t>
      </w:r>
      <w:r>
        <w:t xml:space="preserve"> </w:t>
      </w:r>
      <m:oMath>
        <m:r>
          <m:t>0.0995</m:t>
        </m:r>
      </m:oMath>
      <w:r>
        <w:t xml:space="preserve"> </w:t>
      </w:r>
      <w:r>
        <w:t xml:space="preserve">and</w:t>
      </w:r>
      <w:r>
        <w:t xml:space="preserve"> </w:t>
      </w:r>
      <m:oMath>
        <m:r>
          <m:t>0.104</m:t>
        </m:r>
      </m:oMath>
      <w:r>
        <w:t xml:space="preserve">. The second is unresolved, not a demonstrated absence of a record.</w:t>
      </w:r>
    </w:p>
    <w:p>
      <w:pPr>
        <w:pStyle w:val="BodyText"/>
      </w:pPr>
      <w:r>
        <w:t xml:space="preserve">Maintain lower and upper count bounds</w:t>
      </w:r>
      <w:r>
        <w:t xml:space="preserve"> </w:t>
      </w:r>
      <m:oMath>
        <m:sSup>
          <m:e>
            <m:r>
              <m:t>R</m:t>
            </m:r>
          </m:e>
          <m:sup>
            <m:r>
              <m:rPr>
                <m:sty m:val="p"/>
              </m:rPr>
              <m:t>l</m:t>
            </m:r>
            <m:r>
              <m:rPr>
                <m:sty m:val="p"/>
              </m:rPr>
              <m:t>o</m:t>
            </m:r>
          </m:sup>
        </m:sSup>
        <m:r>
          <m:rPr>
            <m:sty m:val="p"/>
          </m:rPr>
          <m:t>≤</m:t>
        </m:r>
        <m:sSub>
          <m:e>
            <m:r>
              <m:t>R</m:t>
            </m:r>
          </m:e>
          <m:sub>
            <m:r>
              <m:rPr>
                <m:sty m:val="p"/>
              </m:rPr>
              <m:t>n</m:t>
            </m:r>
            <m:r>
              <m:rPr>
                <m:sty m:val="p"/>
              </m:rPr>
              <m:t>e</m:t>
            </m:r>
            <m:r>
              <m:rPr>
                <m:sty m:val="p"/>
              </m:rPr>
              <m:t>w</m:t>
            </m:r>
          </m:sub>
        </m:sSub>
        <m:r>
          <m:rPr>
            <m:sty m:val="p"/>
          </m:rPr>
          <m:t>≤</m:t>
        </m:r>
        <m:sSup>
          <m:e>
            <m:r>
              <m:t>R</m:t>
            </m:r>
          </m:e>
          <m:sup>
            <m:r>
              <m:rPr>
                <m:sty m:val="p"/>
              </m:rPr>
              <m:t>h</m:t>
            </m:r>
            <m:r>
              <m:rPr>
                <m:sty m:val="p"/>
              </m:rPr>
              <m:t>i</m:t>
            </m:r>
          </m:sup>
        </m:sSup>
      </m:oMath>
      <w:r>
        <w:t xml:space="preserve">. Certified fragments provide a lower bound. Every fragment not proved to fail remains eligible for the upper bound; disjoint packing is solved consistently for each bound. Then</w:t>
      </w:r>
    </w:p>
    <w:p>
      <w:pPr>
        <w:pStyle w:val="BodyText"/>
      </w:pPr>
      <m:oMathPara>
        <m:oMathParaPr>
          <m:jc m:val="center"/>
        </m:oMathParaPr>
        <m:oMath>
          <m:sSubSup>
            <m:e>
              <m:r>
                <m:t>Z</m:t>
              </m:r>
            </m:e>
            <m:sub>
              <m:r>
                <m:t>i</m:t>
              </m:r>
            </m:sub>
            <m:sup>
              <m:r>
                <m:rPr>
                  <m:sty m:val="p"/>
                </m:rPr>
                <m:t>l</m:t>
              </m:r>
              <m:r>
                <m:rPr>
                  <m:sty m:val="p"/>
                </m:rPr>
                <m:t>o</m:t>
              </m:r>
            </m:sup>
          </m:sSubSup>
          <m:r>
            <m:rPr>
              <m:sty m:val="p"/>
            </m:rPr>
            <m:t>=</m:t>
          </m:r>
          <m:r>
            <m:rPr>
              <m:sty m:val="p"/>
            </m:rPr>
            <m:t>(</m:t>
          </m:r>
          <m:sSubSup>
            <m:e>
              <m:r>
                <m:t>R</m:t>
              </m:r>
            </m:e>
            <m:sub>
              <m:r>
                <m:t>L</m:t>
              </m:r>
            </m:sub>
            <m:sup>
              <m:r>
                <m:rPr>
                  <m:sty m:val="p"/>
                </m:rPr>
                <m:t>l</m:t>
              </m:r>
              <m:r>
                <m:rPr>
                  <m:sty m:val="p"/>
                </m:rPr>
                <m:t>o</m:t>
              </m:r>
            </m:sup>
          </m:sSubSup>
          <m:r>
            <m:rPr>
              <m:sty m:val="p"/>
            </m:rPr>
            <m:t>−</m:t>
          </m:r>
          <m:sSubSup>
            <m:e>
              <m:r>
                <m:t>R</m:t>
              </m:r>
            </m:e>
            <m:sub>
              <m:r>
                <m:t>C</m:t>
              </m:r>
            </m:sub>
            <m:sup>
              <m:r>
                <m:rPr>
                  <m:sty m:val="p"/>
                </m:rPr>
                <m:t>h</m:t>
              </m:r>
              <m:r>
                <m:rPr>
                  <m:sty m:val="p"/>
                </m:rPr>
                <m:t>i</m:t>
              </m:r>
            </m:sup>
          </m:sSubSup>
          <m:r>
            <m:rPr>
              <m:sty m:val="p"/>
            </m:rPr>
            <m:t>)</m:t>
          </m:r>
          <m:r>
            <m:rPr>
              <m:sty m:val="p"/>
            </m:rPr>
            <m:t>/</m:t>
          </m:r>
          <m:sSub>
            <m:e>
              <m:r>
                <m:t>m</m:t>
              </m:r>
            </m:e>
            <m:sub>
              <m:r>
                <m:rPr>
                  <m:sty m:val="p"/>
                  <m:nor m:val="1"/>
                </m:rPr>
                <w:rPr>
                  <w:i w:val="0"/>
                </w:rPr>
                <m:t>max</m:t>
              </m:r>
            </m:sub>
          </m:sSub>
          <m:r>
            <m:rPr>
              <m:sty m:val="p"/>
            </m:rPr>
            <m:t>,</m:t>
          </m:r>
          <m:r>
            <m:t>  </m:t>
          </m:r>
          <m:sSubSup>
            <m:e>
              <m:r>
                <m:t>Z</m:t>
              </m:r>
            </m:e>
            <m:sub>
              <m:r>
                <m:t>i</m:t>
              </m:r>
            </m:sub>
            <m:sup>
              <m:r>
                <m:rPr>
                  <m:sty m:val="p"/>
                </m:rPr>
                <m:t>h</m:t>
              </m:r>
              <m:r>
                <m:rPr>
                  <m:sty m:val="p"/>
                </m:rPr>
                <m:t>i</m:t>
              </m:r>
            </m:sup>
          </m:sSubSup>
          <m:r>
            <m:rPr>
              <m:sty m:val="p"/>
            </m:rPr>
            <m:t>=</m:t>
          </m:r>
          <m:r>
            <m:rPr>
              <m:sty m:val="p"/>
            </m:rPr>
            <m:t>(</m:t>
          </m:r>
          <m:sSubSup>
            <m:e>
              <m:r>
                <m:t>R</m:t>
              </m:r>
            </m:e>
            <m:sub>
              <m:r>
                <m:t>L</m:t>
              </m:r>
            </m:sub>
            <m:sup>
              <m:r>
                <m:rPr>
                  <m:sty m:val="p"/>
                </m:rPr>
                <m:t>h</m:t>
              </m:r>
              <m:r>
                <m:rPr>
                  <m:sty m:val="p"/>
                </m:rPr>
                <m:t>i</m:t>
              </m:r>
            </m:sup>
          </m:sSubSup>
          <m:r>
            <m:rPr>
              <m:sty m:val="p"/>
            </m:rPr>
            <m:t>−</m:t>
          </m:r>
          <m:sSubSup>
            <m:e>
              <m:r>
                <m:t>R</m:t>
              </m:r>
            </m:e>
            <m:sub>
              <m:r>
                <m:t>C</m:t>
              </m:r>
            </m:sub>
            <m:sup>
              <m:r>
                <m:rPr>
                  <m:sty m:val="p"/>
                </m:rPr>
                <m:t>l</m:t>
              </m:r>
              <m:r>
                <m:rPr>
                  <m:sty m:val="p"/>
                </m:rPr>
                <m:t>o</m:t>
              </m:r>
            </m:sup>
          </m:sSubSup>
          <m:r>
            <m:rPr>
              <m:sty m:val="p"/>
            </m:rPr>
            <m:t>)</m:t>
          </m:r>
          <m:r>
            <m:rPr>
              <m:sty m:val="p"/>
            </m:rPr>
            <m:t>/</m:t>
          </m:r>
          <m:sSub>
            <m:e>
              <m:r>
                <m:t>m</m:t>
              </m:r>
            </m:e>
            <m:sub>
              <m:r>
                <m:rPr>
                  <m:sty m:val="p"/>
                  <m:nor m:val="1"/>
                </m:rPr>
                <w:rPr>
                  <w:i w:val="0"/>
                </w:rPr>
                <m:t>max</m:t>
              </m:r>
            </m:sub>
          </m:sSub>
          <m:r>
            <m:rPr>
              <m:sty m:val="p"/>
            </m:rPr>
            <m:t>.</m:t>
          </m:r>
        </m:oMath>
      </m:oMathPara>
    </w:p>
    <w:p>
      <w:pPr>
        <w:pStyle w:val="FirstParagraph"/>
      </w:pPr>
      <w:r>
        <w:t xml:space="preserve">For</w:t>
      </w:r>
      <w:r>
        <w:t xml:space="preserve"> </w:t>
      </w:r>
      <m:oMath>
        <m:r>
          <m:t>N</m:t>
        </m:r>
      </m:oMath>
      <w:r>
        <w:t xml:space="preserve"> </w:t>
      </w:r>
      <w:r>
        <w:t xml:space="preserve">independent eligible model-history units, deterministic valid enclosures and an endpoint-inclusive fixed analysis,</w:t>
      </w:r>
    </w:p>
    <w:p>
      <w:pPr>
        <w:pStyle w:val="BodyText"/>
      </w:pPr>
      <m:oMathPara>
        <m:oMathParaPr>
          <m:jc m:val="center"/>
        </m:oMathParaPr>
        <m:oMath>
          <m:r>
            <m:rPr>
              <m:sty m:val="p"/>
            </m:rPr>
            <m:t>[</m:t>
          </m:r>
          <m:bar>
            <m:barPr>
              <m:pos m:val="top"/>
            </m:barPr>
            <m:e>
              <m:sSup>
                <m:e>
                  <m:r>
                    <m:t>Z</m:t>
                  </m:r>
                </m:e>
                <m:sup>
                  <m:r>
                    <m:rPr>
                      <m:sty m:val="p"/>
                    </m:rPr>
                    <m:t>l</m:t>
                  </m:r>
                  <m:r>
                    <m:rPr>
                      <m:sty m:val="p"/>
                    </m:rPr>
                    <m:t>o</m:t>
                  </m:r>
                </m:sup>
              </m:sSup>
            </m:e>
          </m:bar>
          <m:r>
            <m:rPr>
              <m:sty m:val="p"/>
            </m:rPr>
            <m:t>−</m:t>
          </m:r>
          <m:r>
            <m:t>h</m:t>
          </m:r>
          <m:r>
            <m:rPr>
              <m:sty m:val="p"/>
            </m:rPr>
            <m:t>,</m:t>
          </m:r>
          <m:bar>
            <m:barPr>
              <m:pos m:val="top"/>
            </m:barPr>
            <m:e>
              <m:sSup>
                <m:e>
                  <m:r>
                    <m:t>Z</m:t>
                  </m:r>
                </m:e>
                <m:sup>
                  <m:r>
                    <m:rPr>
                      <m:sty m:val="p"/>
                    </m:rPr>
                    <m:t>h</m:t>
                  </m:r>
                  <m:r>
                    <m:rPr>
                      <m:sty m:val="p"/>
                    </m:rPr>
                    <m:t>i</m:t>
                  </m:r>
                </m:sup>
              </m:sSup>
            </m:e>
          </m:bar>
          <m:r>
            <m:rPr>
              <m:sty m:val="p"/>
            </m:rPr>
            <m:t>+</m:t>
          </m:r>
          <m:r>
            <m:t>h</m:t>
          </m:r>
          <m:r>
            <m:rPr>
              <m:sty m:val="p"/>
            </m:rPr>
            <m:t>]</m:t>
          </m:r>
          <m:r>
            <m:rPr>
              <m:sty m:val="p"/>
            </m:rPr>
            <m:t>∩</m:t>
          </m:r>
          <m:r>
            <m:rPr>
              <m:sty m:val="p"/>
            </m:rPr>
            <m:t>[</m:t>
          </m:r>
          <m:r>
            <m:rPr>
              <m:sty m:val="p"/>
            </m:rPr>
            <m:t>−</m:t>
          </m:r>
          <m:r>
            <m:t>1</m:t>
          </m:r>
          <m:r>
            <m:rPr>
              <m:sty m:val="p"/>
            </m:rPr>
            <m:t>,</m:t>
          </m:r>
          <m:r>
            <m:t>1</m:t>
          </m:r>
          <m:r>
            <m:rPr>
              <m:sty m:val="p"/>
            </m:rPr>
            <m:t>]</m:t>
          </m:r>
          <m:r>
            <m:rPr>
              <m:sty m:val="p"/>
            </m:rPr>
            <m:t>,</m:t>
          </m:r>
          <m:r>
            <m:t>  </m:t>
          </m:r>
          <m:r>
            <m:t>h</m:t>
          </m:r>
          <m:r>
            <m:rPr>
              <m:sty m:val="p"/>
            </m:rPr>
            <m:t>=</m:t>
          </m:r>
          <m:rad>
            <m:radPr>
              <m:degHide m:val="on"/>
            </m:radPr>
            <m:deg/>
            <m:e>
              <m:r>
                <m:t>2</m:t>
              </m:r>
              <m:r>
                <m:rPr>
                  <m:sty m:val="p"/>
                  <m:nor m:val="1"/>
                </m:rPr>
                <w:rPr>
                  <w:i w:val="0"/>
                </w:rPr>
                <m:t>log</m:t>
              </m:r>
              <m:r>
                <m:rPr>
                  <m:sty m:val="p"/>
                </m:rPr>
                <m:t>(</m:t>
              </m:r>
              <m:r>
                <m:t>2</m:t>
              </m:r>
              <m:r>
                <m:rPr>
                  <m:sty m:val="p"/>
                </m:rPr>
                <m:t>/</m:t>
              </m:r>
              <m:r>
                <m:t>α</m:t>
              </m:r>
              <m:r>
                <m:rPr>
                  <m:sty m:val="p"/>
                </m:rPr>
                <m:t>)</m:t>
              </m:r>
              <m:r>
                <m:rPr>
                  <m:sty m:val="p"/>
                </m:rPr>
                <m:t>/</m:t>
              </m:r>
              <m:r>
                <m:t>N</m:t>
              </m:r>
            </m:e>
          </m:rad>
          <m:r>
            <m:rPr>
              <m:sty m:val="p"/>
            </m:rPr>
            <m:t>,</m:t>
          </m:r>
        </m:oMath>
      </m:oMathPara>
    </w:p>
    <w:p>
      <w:pPr>
        <w:pStyle w:val="FirstParagraph"/>
      </w:pPr>
      <w:r>
        <w:t xml:space="preserve">covers</w:t>
      </w:r>
      <w:r>
        <w:t xml:space="preserve"> </w:t>
      </w:r>
      <m:oMath>
        <m:sSub>
          <m:e>
            <m:r>
              <m:t>θ</m:t>
            </m:r>
          </m:e>
          <m:sub>
            <m:r>
              <m:t>L</m:t>
            </m:r>
            <m:r>
              <m:t>C</m:t>
            </m:r>
          </m:sub>
        </m:sSub>
      </m:oMath>
      <w:r>
        <w:t xml:space="preserve"> </w:t>
      </w:r>
      <w:r>
        <w:t xml:space="preserve">with probability at least</w:t>
      </w:r>
      <w:r>
        <w:t xml:space="preserve"> </w:t>
      </w:r>
      <m:oMath>
        <m:r>
          <m:t>1</m:t>
        </m:r>
        <m:r>
          <m:rPr>
            <m:sty m:val="p"/>
          </m:rPr>
          <m:t>−</m:t>
        </m:r>
        <m:r>
          <m:t>α</m:t>
        </m:r>
      </m:oMath>
      <w:r>
        <w:t xml:space="preserve">. This follows from Hoeffding applied to the unobserved true</w:t>
      </w:r>
      <w:r>
        <w:t xml:space="preserve"> </w:t>
      </w:r>
      <m:oMath>
        <m:sSub>
          <m:e>
            <m:r>
              <m:t>Z</m:t>
            </m:r>
          </m:e>
          <m:sub>
            <m:r>
              <m:t>i</m:t>
            </m:r>
          </m:sub>
        </m:sSub>
        <m:r>
          <m:rPr>
            <m:sty m:val="p"/>
          </m:rPr>
          <m:t>∈</m:t>
        </m:r>
        <m:r>
          <m:rPr>
            <m:sty m:val="p"/>
          </m:rPr>
          <m:t>[</m:t>
        </m:r>
        <m:r>
          <m:rPr>
            <m:sty m:val="p"/>
          </m:rPr>
          <m:t>−</m:t>
        </m:r>
        <m:r>
          <m:t>1</m:t>
        </m:r>
        <m:r>
          <m:rPr>
            <m:sty m:val="p"/>
          </m:rPr>
          <m:t>,</m:t>
        </m:r>
        <m:r>
          <m:t>1</m:t>
        </m:r>
        <m:r>
          <m:rPr>
            <m:sty m:val="p"/>
          </m:rPr>
          <m:t>]</m:t>
        </m:r>
      </m:oMath>
      <w:r>
        <w:t xml:space="preserve"> </w:t>
      </w:r>
      <w:r>
        <w:t xml:space="preserve">and the inequalities between sample means. No independence of the fragment-level certificates is required. If numerical bounds have a failure probability, add that failure budget explicitly. With no valid classification, use the full possible interval, not deletion of the unit. Larger samples reduce sampling error but cannot remove persistent identification width. A bootstrap alone does not fix that width.</w:t>
      </w:r>
    </w:p>
    <w:bookmarkEnd w:id="63"/>
    <w:bookmarkStart w:id="64" w:name="controls-and-staged-progression"/>
    <w:p>
      <w:pPr>
        <w:pStyle w:val="Heading2"/>
      </w:pPr>
      <w:r>
        <w:t xml:space="preserve">7.4 Controls and staged progression</w:t>
      </w:r>
    </w:p>
    <w:tbl>
      <w:tblPr>
        <w:tblStyle w:val="Table"/>
        <w:tblW w:type="dxa" w:w="9831"/>
        <w:jc w:val="center"/>
        <w:tblLayout w:type="fixed"/>
        <w:tblLook w:firstRow="1" w:lastRow="0" w:firstColumn="0" w:lastColumn="0" w:noHBand="0" w:noVBand="0" w:val="0020"/>
        <w:tblBorders>
          <w:top w:val="single" w:sz="4" w:color="A4AFB8"/>
          <w:left w:val="single" w:sz="4" w:color="A4AFB8"/>
          <w:bottom w:val="single" w:sz="4" w:color="A4AFB8"/>
          <w:right w:val="single" w:sz="4" w:color="A4AFB8"/>
          <w:insideH w:val="single" w:sz="4" w:color="A4AFB8"/>
          <w:insideV w:val="single" w:sz="4" w:color="A4AFB8"/>
        </w:tblBorders>
      </w:tblPr>
      <w:tblGrid>
        <w:gridCol w:w="2458"/>
        <w:gridCol w:w="3834"/>
        <w:gridCol w:w="3539"/>
      </w:tblGrid>
      <w:tr>
        <w:trPr>
          <w:tblHeader w:val="on"/>
          <w:tblHeader/>
          <w:cantSplit/>
        </w:trPr>
        <w:tc>
          <w:tcPr>
            <w:shd w:fill="EAF0F4"/>
            <w:tcW w:type="dxa" w:w="2458"/>
            <w:vAlign w:val="top"/>
          </w:tcPr>
          <w:p>
            <w:pPr>
              <w:pStyle w:val="Compact"/>
              <w:spacing w:after="60" w:line="240" w:lineRule="auto"/>
              <w:jc w:val="left"/>
            </w:pPr>
            <w:r>
              <w:rPr>
                <w:rFonts w:ascii="Carlito" w:hAnsi="Carlito"/>
                <w:b/>
                <w:sz w:val="18"/>
              </w:rPr>
              <w:t xml:space="preserve">Control or stage</w:t>
            </w:r>
          </w:p>
        </w:tc>
        <w:tc>
          <w:tcPr>
            <w:shd w:fill="EAF0F4"/>
            <w:tcW w:type="dxa" w:w="3834"/>
            <w:vAlign w:val="top"/>
          </w:tcPr>
          <w:p>
            <w:pPr>
              <w:pStyle w:val="Compact"/>
              <w:spacing w:after="60" w:line="240" w:lineRule="auto"/>
              <w:jc w:val="left"/>
            </w:pPr>
            <w:r>
              <w:rPr>
                <w:rFonts w:ascii="Carlito" w:hAnsi="Carlito"/>
                <w:b/>
                <w:sz w:val="18"/>
              </w:rPr>
              <w:t xml:space="preserve">Correct expected interpretation</w:t>
            </w:r>
          </w:p>
        </w:tc>
        <w:tc>
          <w:tcPr>
            <w:shd w:fill="EAF0F4"/>
            <w:tcW w:type="dxa" w:w="3539"/>
            <w:vAlign w:val="top"/>
          </w:tcPr>
          <w:p>
            <w:pPr>
              <w:pStyle w:val="Compact"/>
              <w:spacing w:after="60" w:line="240" w:lineRule="auto"/>
              <w:jc w:val="left"/>
            </w:pPr>
            <w:r>
              <w:rPr>
                <w:rFonts w:ascii="Carlito" w:hAnsi="Carlito"/>
                <w:b/>
                <w:sz w:val="18"/>
              </w:rPr>
              <w:t xml:space="preserve">Status in this release</w:t>
            </w:r>
          </w:p>
        </w:tc>
      </w:tr>
      <w:tr>
        <w:trPr>
          <w:cantSplit/>
        </w:trPr>
        <w:tc>
          <w:tcPr>
            <w:tcW w:type="dxa" w:w="2458"/>
            <w:vAlign w:val="top"/>
          </w:tcPr>
          <w:p>
            <w:pPr>
              <w:pStyle w:val="Compact"/>
              <w:spacing w:after="60" w:line="240" w:lineRule="auto"/>
              <w:jc w:val="left"/>
            </w:pPr>
            <w:r>
              <w:rPr>
                <w:rFonts w:ascii="Carlito" w:hAnsi="Carlito"/>
                <w:sz w:val="18"/>
              </w:rPr>
              <w:t xml:space="preserve">Fixed common frame</w:t>
            </w:r>
          </w:p>
        </w:tc>
        <w:tc>
          <w:tcPr>
            <w:tcW w:type="dxa" w:w="3834"/>
            <w:vAlign w:val="top"/>
          </w:tcPr>
          <w:p>
            <w:pPr>
              <w:pStyle w:val="Compact"/>
              <w:spacing w:after="60" w:line="240" w:lineRule="auto"/>
              <w:jc w:val="left"/>
            </w:pPr>
            <w:r>
              <w:rPr>
                <w:rFonts w:ascii="Carlito" w:hAnsi="Carlito"/>
                <w:sz w:val="18"/>
              </w:rPr>
              <w:t xml:space="preserve">Recover the frame, but pairing contrast is zero</w:t>
            </w:r>
          </w:p>
        </w:tc>
        <w:tc>
          <w:tcPr>
            <w:tcW w:type="dxa" w:w="3539"/>
            <w:vAlign w:val="top"/>
          </w:tcPr>
          <w:p>
            <w:pPr>
              <w:pStyle w:val="Compact"/>
              <w:spacing w:after="60" w:line="240" w:lineRule="auto"/>
              <w:jc w:val="left"/>
            </w:pPr>
            <w:r>
              <w:rPr>
                <w:rFonts w:ascii="Carlito" w:hAnsi="Carlito"/>
                <w:sz w:val="18"/>
              </w:rPr>
              <w:t xml:space="preserve">Exact counterexample/calibration executed</w:t>
            </w:r>
          </w:p>
        </w:tc>
      </w:tr>
      <w:tr>
        <w:trPr>
          <w:cantSplit/>
        </w:trPr>
        <w:tc>
          <w:tcPr>
            <w:tcW w:type="dxa" w:w="2458"/>
            <w:vAlign w:val="top"/>
          </w:tcPr>
          <w:p>
            <w:pPr>
              <w:pStyle w:val="Compact"/>
              <w:spacing w:after="60" w:line="240" w:lineRule="auto"/>
              <w:jc w:val="left"/>
            </w:pPr>
            <w:r>
              <w:rPr>
                <w:rFonts w:ascii="Carlito" w:hAnsi="Carlito"/>
                <w:sz w:val="18"/>
              </w:rPr>
              <w:t xml:space="preserve">Varying supplied common orientation</w:t>
            </w:r>
          </w:p>
        </w:tc>
        <w:tc>
          <w:tcPr>
            <w:tcW w:type="dxa" w:w="3834"/>
            <w:vAlign w:val="top"/>
          </w:tcPr>
          <w:p>
            <w:pPr>
              <w:pStyle w:val="Compact"/>
              <w:spacing w:after="60" w:line="240" w:lineRule="auto"/>
              <w:jc w:val="left"/>
            </w:pPr>
            <w:r>
              <w:rPr>
                <w:rFonts w:ascii="Carlito" w:hAnsi="Carlito"/>
                <w:sz w:val="18"/>
              </w:rPr>
              <w:t xml:space="preserve">Raw pairing contrast can be positive; disclose and condition on the supplied orientation</w:t>
            </w:r>
          </w:p>
        </w:tc>
        <w:tc>
          <w:tcPr>
            <w:tcW w:type="dxa" w:w="3539"/>
            <w:vAlign w:val="top"/>
          </w:tcPr>
          <w:p>
            <w:pPr>
              <w:pStyle w:val="Compact"/>
              <w:spacing w:after="60" w:line="240" w:lineRule="auto"/>
              <w:jc w:val="left"/>
            </w:pPr>
            <w:r>
              <w:rPr>
                <w:rFonts w:ascii="Carlito" w:hAnsi="Carlito"/>
                <w:sz w:val="18"/>
              </w:rPr>
              <w:t xml:space="preserve">Exact projector-span calibration executed</w:t>
            </w:r>
          </w:p>
        </w:tc>
      </w:tr>
      <w:tr>
        <w:trPr>
          <w:cantSplit/>
        </w:trPr>
        <w:tc>
          <w:tcPr>
            <w:tcW w:type="dxa" w:w="2458"/>
            <w:vAlign w:val="top"/>
          </w:tcPr>
          <w:p>
            <w:pPr>
              <w:pStyle w:val="Compact"/>
              <w:spacing w:after="60" w:line="240" w:lineRule="auto"/>
              <w:jc w:val="left"/>
            </w:pPr>
            <w:r>
              <w:rPr>
                <w:rFonts w:ascii="Carlito" w:hAnsi="Carlito"/>
                <w:sz w:val="18"/>
              </w:rPr>
              <w:t xml:space="preserve">Known-input registration</w:t>
            </w:r>
          </w:p>
        </w:tc>
        <w:tc>
          <w:tcPr>
            <w:tcW w:type="dxa" w:w="3834"/>
            <w:vAlign w:val="top"/>
          </w:tcPr>
          <w:p>
            <w:pPr>
              <w:pStyle w:val="Compact"/>
              <w:spacing w:after="60" w:line="240" w:lineRule="auto"/>
              <w:jc w:val="left"/>
            </w:pPr>
            <w:r>
              <w:rPr>
                <w:rFonts w:ascii="Carlito" w:hAnsi="Carlito"/>
                <w:sz w:val="18"/>
              </w:rPr>
              <w:t xml:space="preserve">Input-only association can disappear</w:t>
            </w:r>
          </w:p>
        </w:tc>
        <w:tc>
          <w:tcPr>
            <w:tcW w:type="dxa" w:w="3539"/>
            <w:vAlign w:val="top"/>
          </w:tcPr>
          <w:p>
            <w:pPr>
              <w:pStyle w:val="Compact"/>
              <w:spacing w:after="60" w:line="240" w:lineRule="auto"/>
              <w:jc w:val="left"/>
            </w:pPr>
            <w:r>
              <w:rPr>
                <w:rFonts w:ascii="Carlito" w:hAnsi="Carlito"/>
                <w:sz w:val="18"/>
              </w:rPr>
              <w:t xml:space="preserve">Exact calibration executed</w:t>
            </w:r>
          </w:p>
        </w:tc>
      </w:tr>
      <w:tr>
        <w:trPr>
          <w:cantSplit/>
        </w:trPr>
        <w:tc>
          <w:tcPr>
            <w:tcW w:type="dxa" w:w="2458"/>
            <w:vAlign w:val="top"/>
          </w:tcPr>
          <w:p>
            <w:pPr>
              <w:pStyle w:val="Compact"/>
              <w:spacing w:after="60" w:line="240" w:lineRule="auto"/>
              <w:jc w:val="left"/>
            </w:pPr>
            <w:r>
              <w:rPr>
                <w:rFonts w:ascii="Carlito" w:hAnsi="Carlito"/>
                <w:sz w:val="18"/>
              </w:rPr>
              <w:t xml:space="preserve">Complete permutation group</w:t>
            </w:r>
          </w:p>
        </w:tc>
        <w:tc>
          <w:tcPr>
            <w:tcW w:type="dxa" w:w="3834"/>
            <w:vAlign w:val="top"/>
          </w:tcPr>
          <w:p>
            <w:pPr>
              <w:pStyle w:val="Compact"/>
              <w:spacing w:after="60" w:line="240" w:lineRule="auto"/>
              <w:jc w:val="left"/>
            </w:pPr>
            <w:r>
              <w:rPr>
                <w:rFonts w:ascii="Carlito" w:hAnsi="Carlito"/>
                <w:sz w:val="18"/>
              </w:rPr>
              <w:t xml:space="preserve">Conditional size control under its stated null</w:t>
            </w:r>
          </w:p>
        </w:tc>
        <w:tc>
          <w:tcPr>
            <w:tcW w:type="dxa" w:w="3539"/>
            <w:vAlign w:val="top"/>
          </w:tcPr>
          <w:p>
            <w:pPr>
              <w:pStyle w:val="Compact"/>
              <w:spacing w:after="60" w:line="240" w:lineRule="auto"/>
              <w:jc w:val="left"/>
            </w:pPr>
            <w:r>
              <w:rPr>
                <w:rFonts w:ascii="Carlito" w:hAnsi="Carlito"/>
                <w:sz w:val="18"/>
              </w:rPr>
              <w:t xml:space="preserve">Exact four-label enumeration executed</w:t>
            </w:r>
          </w:p>
        </w:tc>
      </w:tr>
      <w:tr>
        <w:trPr>
          <w:cantSplit/>
        </w:trPr>
        <w:tc>
          <w:tcPr>
            <w:tcW w:type="dxa" w:w="2458"/>
            <w:vAlign w:val="top"/>
          </w:tcPr>
          <w:p>
            <w:pPr>
              <w:pStyle w:val="Compact"/>
              <w:spacing w:after="60" w:line="240" w:lineRule="auto"/>
              <w:jc w:val="left"/>
            </w:pPr>
            <w:r>
              <w:rPr>
                <w:rFonts w:ascii="Carlito" w:hAnsi="Carlito"/>
                <w:sz w:val="18"/>
              </w:rPr>
              <w:t xml:space="preserve">Derangements-only reference</w:t>
            </w:r>
          </w:p>
        </w:tc>
        <w:tc>
          <w:tcPr>
            <w:tcW w:type="dxa" w:w="3834"/>
            <w:vAlign w:val="top"/>
          </w:tcPr>
          <w:p>
            <w:pPr>
              <w:pStyle w:val="Compact"/>
              <w:spacing w:after="60" w:line="240" w:lineRule="auto"/>
              <w:jc w:val="left"/>
            </w:pPr>
            <w:r>
              <w:rPr>
                <w:rFonts w:ascii="Carlito" w:hAnsi="Carlito"/>
                <w:sz w:val="18"/>
              </w:rPr>
              <w:t xml:space="preserve">Not automatically calibrated</w:t>
            </w:r>
          </w:p>
        </w:tc>
        <w:tc>
          <w:tcPr>
            <w:tcW w:type="dxa" w:w="3539"/>
            <w:vAlign w:val="top"/>
          </w:tcPr>
          <w:p>
            <w:pPr>
              <w:pStyle w:val="Compact"/>
              <w:spacing w:after="60" w:line="240" w:lineRule="auto"/>
              <w:jc w:val="left"/>
            </w:pPr>
            <w:r>
              <w:rPr>
                <w:rFonts w:ascii="Carlito" w:hAnsi="Carlito"/>
                <w:sz w:val="18"/>
              </w:rPr>
              <w:t xml:space="preserve">Exact anti-conservative counterexample executed</w:t>
            </w:r>
          </w:p>
        </w:tc>
      </w:tr>
      <w:tr>
        <w:trPr>
          <w:cantSplit/>
        </w:trPr>
        <w:tc>
          <w:tcPr>
            <w:tcW w:type="dxa" w:w="2458"/>
            <w:vAlign w:val="top"/>
          </w:tcPr>
          <w:p>
            <w:pPr>
              <w:pStyle w:val="Compact"/>
              <w:spacing w:after="60" w:line="240" w:lineRule="auto"/>
              <w:jc w:val="left"/>
            </w:pPr>
            <w:r>
              <w:rPr>
                <w:rFonts w:ascii="Carlito" w:hAnsi="Carlito"/>
                <w:sz w:val="18"/>
              </w:rPr>
              <w:t xml:space="preserve">Independent conditional Haar preparation</w:t>
            </w:r>
          </w:p>
        </w:tc>
        <w:tc>
          <w:tcPr>
            <w:tcW w:type="dxa" w:w="3834"/>
            <w:vAlign w:val="top"/>
          </w:tcPr>
          <w:p>
            <w:pPr>
              <w:pStyle w:val="Compact"/>
              <w:spacing w:after="60" w:line="240" w:lineRule="auto"/>
              <w:jc w:val="left"/>
            </w:pPr>
            <w:r>
              <w:rPr>
                <w:rFonts w:ascii="Carlito" w:hAnsi="Carlito"/>
                <w:sz w:val="18"/>
              </w:rPr>
              <w:t xml:space="preserve">Small fixed fragments rarely qualify in the stated regime</w:t>
            </w:r>
          </w:p>
        </w:tc>
        <w:tc>
          <w:tcPr>
            <w:tcW w:type="dxa" w:w="3539"/>
            <w:vAlign w:val="top"/>
          </w:tcPr>
          <w:p>
            <w:pPr>
              <w:pStyle w:val="Compact"/>
              <w:spacing w:after="60" w:line="240" w:lineRule="auto"/>
              <w:jc w:val="left"/>
            </w:pPr>
            <w:r>
              <w:rPr>
                <w:rFonts w:ascii="Carlito" w:hAnsi="Carlito"/>
                <w:sz w:val="18"/>
              </w:rPr>
              <w:t xml:space="preserve">Source simulations reproduced; bounds retained</w:t>
            </w:r>
          </w:p>
        </w:tc>
      </w:tr>
      <w:tr>
        <w:trPr>
          <w:cantSplit/>
        </w:trPr>
        <w:tc>
          <w:tcPr>
            <w:tcW w:type="dxa" w:w="2458"/>
            <w:vAlign w:val="top"/>
          </w:tcPr>
          <w:p>
            <w:pPr>
              <w:pStyle w:val="Compact"/>
              <w:spacing w:after="60" w:line="240" w:lineRule="auto"/>
              <w:jc w:val="left"/>
            </w:pPr>
            <w:r>
              <w:rPr>
                <w:rFonts w:ascii="Carlito" w:hAnsi="Carlito"/>
                <w:sz w:val="18"/>
              </w:rPr>
              <w:t xml:space="preserve">Persistent versus sampled records</w:t>
            </w:r>
          </w:p>
        </w:tc>
        <w:tc>
          <w:tcPr>
            <w:tcW w:type="dxa" w:w="3834"/>
            <w:vAlign w:val="top"/>
          </w:tcPr>
          <w:p>
            <w:pPr>
              <w:pStyle w:val="Compact"/>
              <w:spacing w:after="60" w:line="240" w:lineRule="auto"/>
              <w:jc w:val="left"/>
            </w:pPr>
            <w:r>
              <w:rPr>
                <w:rFonts w:ascii="Carlito" w:hAnsi="Carlito"/>
                <w:sz w:val="18"/>
              </w:rPr>
              <w:t xml:space="preserve">Require a continuum certificate or an explicitly discrete target</w:t>
            </w:r>
          </w:p>
        </w:tc>
        <w:tc>
          <w:tcPr>
            <w:tcW w:type="dxa" w:w="3539"/>
            <w:vAlign w:val="top"/>
          </w:tcPr>
          <w:p>
            <w:pPr>
              <w:pStyle w:val="Compact"/>
              <w:spacing w:after="60" w:line="240" w:lineRule="auto"/>
              <w:jc w:val="left"/>
            </w:pPr>
            <w:r>
              <w:rPr>
                <w:rFonts w:ascii="Carlito" w:hAnsi="Carlito"/>
                <w:sz w:val="18"/>
              </w:rPr>
              <w:t xml:space="preserve">Certificate and decoder controls executed, Appendix D</w:t>
            </w:r>
          </w:p>
        </w:tc>
      </w:tr>
      <w:tr>
        <w:trPr>
          <w:cantSplit/>
        </w:trPr>
        <w:tc>
          <w:tcPr>
            <w:tcW w:type="dxa" w:w="2458"/>
            <w:vAlign w:val="top"/>
          </w:tcPr>
          <w:p>
            <w:pPr>
              <w:pStyle w:val="Compact"/>
              <w:spacing w:after="60" w:line="240" w:lineRule="auto"/>
              <w:jc w:val="left"/>
            </w:pPr>
            <w:r>
              <w:rPr>
                <w:rFonts w:ascii="Carlito" w:hAnsi="Carlito"/>
                <w:sz w:val="18"/>
              </w:rPr>
              <w:t xml:space="preserve">Unrestricted independent optimisation</w:t>
            </w:r>
          </w:p>
        </w:tc>
        <w:tc>
          <w:tcPr>
            <w:tcW w:type="dxa" w:w="3834"/>
            <w:vAlign w:val="top"/>
          </w:tcPr>
          <w:p>
            <w:pPr>
              <w:pStyle w:val="Compact"/>
              <w:spacing w:after="60" w:line="240" w:lineRule="auto"/>
              <w:jc w:val="left"/>
            </w:pPr>
            <w:r>
              <w:rPr>
                <w:rFonts w:ascii="Carlito" w:hAnsi="Carlito"/>
                <w:sz w:val="18"/>
              </w:rPr>
              <w:t xml:space="preserve">Needs access constraints, convergence study and costed search budget</w:t>
            </w:r>
          </w:p>
        </w:tc>
        <w:tc>
          <w:tcPr>
            <w:tcW w:type="dxa" w:w="3539"/>
            <w:vAlign w:val="top"/>
          </w:tcPr>
          <w:p>
            <w:pPr>
              <w:pStyle w:val="Compact"/>
              <w:spacing w:after="60" w:line="240" w:lineRule="auto"/>
              <w:jc w:val="left"/>
            </w:pPr>
            <w:r>
              <w:rPr>
                <w:rFonts w:ascii="Carlito" w:hAnsi="Carlito"/>
                <w:sz w:val="18"/>
              </w:rPr>
              <w:t xml:space="preserve">NOT EXECUTED</w:t>
            </w:r>
          </w:p>
        </w:tc>
      </w:tr>
      <w:tr>
        <w:trPr>
          <w:cantSplit/>
        </w:trPr>
        <w:tc>
          <w:tcPr>
            <w:tcW w:type="dxa" w:w="2458"/>
            <w:vAlign w:val="top"/>
          </w:tcPr>
          <w:p>
            <w:pPr>
              <w:pStyle w:val="Compact"/>
              <w:spacing w:after="60" w:line="240" w:lineRule="auto"/>
              <w:jc w:val="left"/>
            </w:pPr>
            <w:r>
              <w:rPr>
                <w:rFonts w:ascii="Carlito" w:hAnsi="Carlito"/>
                <w:sz w:val="18"/>
              </w:rPr>
              <w:t xml:space="preserve">Physically informative LRA model ensemble</w:t>
            </w:r>
          </w:p>
        </w:tc>
        <w:tc>
          <w:tcPr>
            <w:tcW w:type="dxa" w:w="3834"/>
            <w:vAlign w:val="top"/>
          </w:tcPr>
          <w:p>
            <w:pPr>
              <w:pStyle w:val="Compact"/>
              <w:spacing w:after="60" w:line="240" w:lineRule="auto"/>
              <w:jc w:val="left"/>
            </w:pPr>
            <w:r>
              <w:rPr>
                <w:rFonts w:ascii="Carlito" w:hAnsi="Carlito"/>
                <w:sz w:val="18"/>
              </w:rPr>
              <w:t xml:space="preserve">Needs independently motivated model class and valid inference</w:t>
            </w:r>
          </w:p>
        </w:tc>
        <w:tc>
          <w:tcPr>
            <w:tcW w:type="dxa" w:w="3539"/>
            <w:vAlign w:val="top"/>
          </w:tcPr>
          <w:p>
            <w:pPr>
              <w:pStyle w:val="Compact"/>
              <w:spacing w:after="60" w:line="240" w:lineRule="auto"/>
              <w:jc w:val="left"/>
            </w:pPr>
            <w:r>
              <w:rPr>
                <w:rFonts w:ascii="Carlito" w:hAnsi="Carlito"/>
                <w:sz w:val="18"/>
              </w:rPr>
              <w:t xml:space="preserve">NOT EXECUTED</w:t>
            </w:r>
          </w:p>
        </w:tc>
      </w:tr>
    </w:tbl>
    <w:p>
      <w:pPr>
        <w:pStyle w:val="BodyText"/>
      </w:pPr>
      <w:r>
        <w:t xml:space="preserve">The supplied source-off protocol records the executed feasibility pilot. Unrestricted structure search and a prospectively registered, held-out identification study remain unexecuted. The supplied factorial extension is an executed exploratory intervention study, not that identification stage. No larger study is activated by the existence of this protocol: it first needs an informative target, a justified sampling law and an acceptable certification budget. Any subsequent search requires a separate sensitivity and unresolved-rate assessment.</w:t>
      </w:r>
    </w:p>
    <w:bookmarkEnd w:id="64"/>
    <w:bookmarkStart w:id="65" w:name="X2a271783d3d5ea93875811bf60b05c372268cc4"/>
    <w:p>
      <w:pPr>
        <w:pStyle w:val="Heading2"/>
      </w:pPr>
      <w:r>
        <w:t xml:space="preserve">7.5 Physical correspondence remains a separate claim</w:t>
      </w:r>
    </w:p>
    <w:p>
      <w:pPr>
        <w:pStyle w:val="FirstParagraph"/>
      </w:pPr>
      <w:r>
        <w:t xml:space="preserve">An effective graph or a few-body Hamiltonian is not a derived spacetime metric. Existing reconstruction work makes additional assumptions explicit [Cao, Carroll and Michalakis 2017]. A fundamental extension needs a primitive-input ledger and an independent target: geometry, causal propagation, dimensionality, or observation distributions evaluated on data not used to choose the frame. Even successful LRA evidence would support its specified models. It would not automatically establish monism, spatial infinity, plenitude or a conscious ground.</w:t>
      </w:r>
    </w:p>
    <w:bookmarkEnd w:id="65"/>
    <w:bookmarkEnd w:id="66"/>
    <w:bookmarkStart w:id="67" w:name="relation-to-prior-work"/>
    <w:p>
      <w:pPr>
        <w:pStyle w:val="Heading1"/>
      </w:pPr>
      <w:r>
        <w:t xml:space="preserve">8. Relation to prior work</w:t>
      </w:r>
    </w:p>
    <w:p>
      <w:pPr>
        <w:pStyle w:val="FirstParagraph"/>
      </w:pPr>
      <w:r>
        <w:rPr>
          <w:b/>
          <w:bCs/>
        </w:rPr>
        <w:t xml:space="preserve">Subsystems from operational or dynamical criteria.</w:t>
      </w:r>
    </w:p>
    <w:p>
      <w:pPr>
        <w:pStyle w:val="Compact"/>
        <w:numPr>
          <w:ilvl w:val="0"/>
          <w:numId w:val="1006"/>
        </w:numPr>
      </w:pPr>
      <w:r>
        <w:rPr>
          <w:i/>
          <w:iCs/>
        </w:rPr>
        <w:t xml:space="preserve">Virtual subsystems and generalised TPS.</w:t>
      </w:r>
      <w:r>
        <w:t xml:space="preserve"> </w:t>
      </w:r>
      <w:r>
        <w:t xml:space="preserve">Zanardi’s virtual subsystems and their extension define subsystems through operationally accessible observable algebras [Zanardi 2001; Zanardi, Lidar and Lloyd 2004].</w:t>
      </w:r>
    </w:p>
    <w:p>
      <w:pPr>
        <w:pStyle w:val="Compact"/>
        <w:numPr>
          <w:ilvl w:val="0"/>
          <w:numId w:val="1006"/>
        </w:numPr>
      </w:pPr>
      <w:r>
        <w:rPr>
          <w:i/>
          <w:iCs/>
        </w:rPr>
        <w:t xml:space="preserve">Minimal scrambling.</w:t>
      </w:r>
      <w:r>
        <w:t xml:space="preserve"> </w:t>
      </w:r>
      <w:r>
        <w:t xml:space="preserve">Zanardi, Dallas, Andreadakis and Lloyd define generalised TPS as dual pairs of an operator subalgebra and its commutant, and select them by minimal short-time information scrambling. The long-time extension uses the long-time average of the algebraic out-of-time-order correlator [Zanardi et al. 2024; Andreadakis, Dallas and Zanardi 2023]. Either criterion could replace or complement</w:t>
      </w:r>
      <w:r>
        <w:t xml:space="preserve"> </w:t>
      </w:r>
      <m:oMath>
        <m:r>
          <m:t>L</m:t>
        </m:r>
      </m:oMath>
      <w:r>
        <w:t xml:space="preserve"> </w:t>
      </w:r>
      <w:r>
        <w:t xml:space="preserve">as a dynamical score. The same audit questions apply, but its class invariance, admissible structure, search distribution and reference calibration must be re-established; the theorems do not transfer unchanged by renaming the score. Andreadakis and Zanardi also define a distance between a tensor-product structure and its image under a unitary channel [Andreadakis and Zanardi 2025]; Section 2.7 distinguishes our span diagnostic from a full access-structure comparison.</w:t>
      </w:r>
    </w:p>
    <w:p>
      <w:pPr>
        <w:pStyle w:val="Compact"/>
        <w:numPr>
          <w:ilvl w:val="0"/>
          <w:numId w:val="1006"/>
        </w:numPr>
      </w:pPr>
      <w:r>
        <w:rPr>
          <w:i/>
          <w:iCs/>
        </w:rPr>
        <w:t xml:space="preserve">Locality from the spectrum.</w:t>
      </w:r>
      <w:r>
        <w:t xml:space="preserve"> </w:t>
      </w:r>
      <w:r>
        <w:t xml:space="preserve">Cotler, Penington and Ranard study when a Hamiltonian’s spectrum determines a local TPS [Cotler, Penington and Ranard 2019]. Stoica argues that preferred structures built only from the Hamiltonian and state are either not unique or not compatible with observation [Stoica 2022]. Soulas, Franzmann and Di Biagio re-examine both results and argue that the first has been widely misread and the second holds only in a weaker version [Soulas, Franzmann and Di Biagio 2025], a reading Stoica disputes [Stoica 2026]. Loizeau and Sels show that the number of subsystems can be inferred from finite-size corrections to the Gaussian density of states in local models [Loizeau and Sels 2025].</w:t>
      </w:r>
    </w:p>
    <w:p>
      <w:pPr>
        <w:pStyle w:val="Compact"/>
        <w:numPr>
          <w:ilvl w:val="0"/>
          <w:numId w:val="1006"/>
        </w:numPr>
      </w:pPr>
      <w:r>
        <w:rPr>
          <w:i/>
          <w:iCs/>
        </w:rPr>
        <w:t xml:space="preserve">Scope of this paper.</w:t>
      </w:r>
      <w:r>
        <w:t xml:space="preserve"> </w:t>
      </w:r>
      <w:r>
        <w:t xml:space="preserve">Nothing here depends on how that dispute is resolved. Our candidate structures are declared, and our claims are conditional on the declared reference structure.</w:t>
      </w:r>
    </w:p>
    <w:p>
      <w:pPr>
        <w:pStyle w:val="FirstParagraph"/>
      </w:pPr>
      <w:r>
        <w:rPr>
          <w:b/>
          <w:bCs/>
        </w:rPr>
        <w:t xml:space="preserve">Records, objectivity and classicality.</w:t>
      </w:r>
    </w:p>
    <w:p>
      <w:pPr>
        <w:pStyle w:val="Compact"/>
        <w:numPr>
          <w:ilvl w:val="0"/>
          <w:numId w:val="1007"/>
        </w:numPr>
      </w:pPr>
      <w:r>
        <w:rPr>
          <w:i/>
          <w:iCs/>
        </w:rPr>
        <w:t xml:space="preserve">Decoherence and quantum Darwinism.</w:t>
      </w:r>
      <w:r>
        <w:t xml:space="preserve"> </w:t>
      </w:r>
      <w:r>
        <w:t xml:space="preserve">Decoherence and einselection identify states robust under a given interaction, and quantum Darwinism studies the redundant proliferation of information about them [Zurek 2003; Ollivier, Poulin and Zurek 2004; Zurek 2009].</w:t>
      </w:r>
    </w:p>
    <w:p>
      <w:pPr>
        <w:pStyle w:val="Compact"/>
        <w:numPr>
          <w:ilvl w:val="0"/>
          <w:numId w:val="1007"/>
        </w:numPr>
      </w:pPr>
      <w:r>
        <w:rPr>
          <w:i/>
          <w:iCs/>
        </w:rPr>
        <w:t xml:space="preserve">Preparation dependence.</w:t>
      </w:r>
      <w:r>
        <w:t xml:space="preserve"> </w:t>
      </w:r>
      <w:r>
        <w:t xml:space="preserve">Zwolak, Quan and Zurek (2010) analyse information acquisition in mixed or misaligned environments under specified decohering interactions. This is direct prior art for readiness dependence, not a new mechanism discovered here. Kumar (2023), an undergraduate thesis, reports loss of a quantum-Darwinism redundancy plateau when environmental subsystem divisions are scrambled. Its mutual-information criterion differs from the present persistent Helstrom formation rule. Ollivier (2022) studies imperfect records and POVMs without singling out a preferred system-environment dichotomy. His construction still assumes microscopic sites and a natural tensor-product structure (Sections 1 and 2); it is not a derivation of arbitrary subsystem structure from no input factorisation. The present Helstrom-persistence test asks a different operational question.</w:t>
      </w:r>
    </w:p>
    <w:p>
      <w:pPr>
        <w:pStyle w:val="Compact"/>
        <w:numPr>
          <w:ilvl w:val="0"/>
          <w:numId w:val="1007"/>
        </w:numPr>
      </w:pPr>
      <w:r>
        <w:rPr>
          <w:i/>
          <w:iCs/>
        </w:rPr>
        <w:t xml:space="preserve">Genericity.</w:t>
      </w:r>
      <w:r>
        <w:t xml:space="preserve"> </w:t>
      </w:r>
      <w:r>
        <w:t xml:space="preserve">Brandão, Piani and Horodecki proved that the objectivity of observables is generic in quantum dynamics, while the objectivity of outcomes is model-dependent [Brandão, Piani and Horodecki 2015].</w:t>
      </w:r>
    </w:p>
    <w:p>
      <w:pPr>
        <w:pStyle w:val="Compact"/>
        <w:numPr>
          <w:ilvl w:val="0"/>
          <w:numId w:val="1007"/>
        </w:numPr>
      </w:pPr>
      <w:r>
        <w:rPr>
          <w:i/>
          <w:iCs/>
        </w:rPr>
        <w:t xml:space="preserve">Stronger objectivity notions.</w:t>
      </w:r>
      <w:r>
        <w:t xml:space="preserve"> </w:t>
      </w:r>
      <w:r>
        <w:t xml:space="preserve">Spectrum broadcast structures formalise stronger objectivity [Horodecki, Korbicz and Horodecki 2015]. Their claimed equivalence with strong quantum Darwinism was later qualified in a reply to a published comment [Le and Olaya-Castro 2019, 2021].</w:t>
      </w:r>
    </w:p>
    <w:p>
      <w:pPr>
        <w:pStyle w:val="Compact"/>
        <w:numPr>
          <w:ilvl w:val="0"/>
          <w:numId w:val="1007"/>
        </w:numPr>
      </w:pPr>
      <w:r>
        <w:rPr>
          <w:i/>
          <w:iCs/>
        </w:rPr>
        <w:t xml:space="preserve">Riedel.</w:t>
      </w:r>
      <w:r>
        <w:t xml:space="preserve"> </w:t>
      </w:r>
      <w:r>
        <w:t xml:space="preserve">Given the TPS of spatial locality, redundant local records constrain branch decompositions strongly [Riedel 2017]. Our question is the converse direction: whether record structure selects that TPS.</w:t>
      </w:r>
    </w:p>
    <w:p>
      <w:pPr>
        <w:pStyle w:val="Compact"/>
        <w:numPr>
          <w:ilvl w:val="0"/>
          <w:numId w:val="1007"/>
        </w:numPr>
      </w:pPr>
      <w:r>
        <w:rPr>
          <w:i/>
          <w:iCs/>
        </w:rPr>
        <w:t xml:space="preserve">Adil et al.</w:t>
      </w:r>
      <w:r>
        <w:t xml:space="preserve"> </w:t>
      </w:r>
      <w:r>
        <w:t xml:space="preserve">A fixed Hamiltonian admits many factorizations with robust pointer states, and these need not align with the usual notion of locality [Adil et al. 2026]. Their pointer-state criterion is not identical to persistent, redundantly decodable source records. Supplement Table S6 is a separate small illustration of frame sensitivity, not a replication of their stronger or differently defined claims.</w:t>
      </w:r>
    </w:p>
    <w:p>
      <w:pPr>
        <w:pStyle w:val="FirstParagraph"/>
      </w:pPr>
      <w:r>
        <w:rPr>
          <w:b/>
          <w:bCs/>
        </w:rPr>
        <w:t xml:space="preserve">Typicality.</w:t>
      </w:r>
      <w:r>
        <w:t xml:space="preserve"> </w:t>
      </w:r>
      <w:r>
        <w:t xml:space="preserve">Proposition 3 is a direct consequence of subsystem-typicality estimates [Page 1993; Popescu, Short and Winter 2006; Goldstein et al. 2006; Hayden, Leung and Winter 2006]. We claim no new typicality result. The contribution is its scoped use as a design constraint on record tests. Conditional Haar typicality suppresses selected small-fragment outcomes; it neither identifies the true preparation of the universe nor forbids adaptive encoding.</w:t>
      </w:r>
    </w:p>
    <w:p>
      <w:pPr>
        <w:pStyle w:val="BodyText"/>
      </w:pPr>
      <w:r>
        <w:rPr>
          <w:b/>
          <w:bCs/>
        </w:rPr>
        <w:t xml:space="preserve">Contribution and priority.</w:t>
      </w:r>
      <w:r>
        <w:t xml:space="preserve"> </w:t>
      </w:r>
      <w:r>
        <w:t xml:space="preserve">Section 1.3 states the single contribution list. The underlying projection, commutant, concentration and perturbation tools are standard. Their role here is to prevent three specific mistakes: equating span and access, transferring a verdict between counterfactuals, and treating an unresolved certificate as absent information. The factorial illustration is an outcome of a supplied finite model, not a new theorem that locality always determines record structure. External assessment of novelty and usefulness remains necessary.</w:t>
      </w:r>
    </w:p>
    <w:bookmarkEnd w:id="67"/>
    <w:bookmarkStart w:id="68" w:name="X1a6e19ddf5dee69aae6262f14b4d41a4f60f558"/>
    <w:p>
      <w:pPr>
        <w:pStyle w:val="Heading1"/>
      </w:pPr>
      <w:r>
        <w:t xml:space="preserve">9. Limitations, falsifiers and competing interpretations</w:t>
      </w:r>
    </w:p>
    <w:p>
      <w:pPr>
        <w:pStyle w:val="FirstParagraph"/>
      </w:pPr>
      <w:r>
        <w:rPr>
          <w:b/>
          <w:bCs/>
        </w:rPr>
        <w:t xml:space="preserve">Limitations.</w:t>
      </w:r>
    </w:p>
    <w:p>
      <w:pPr>
        <w:pStyle w:val="Compact"/>
        <w:numPr>
          <w:ilvl w:val="0"/>
          <w:numId w:val="1008"/>
        </w:numPr>
      </w:pPr>
      <w:r>
        <w:t xml:space="preserve">Finite dimension, qubit factors, pure conditional states in Proposition 3, a binary source, autonomous Hamiltonians and declared reference structures.</w:t>
      </w:r>
    </w:p>
    <w:p>
      <w:pPr>
        <w:pStyle w:val="Compact"/>
        <w:numPr>
          <w:ilvl w:val="0"/>
          <w:numId w:val="1008"/>
        </w:numPr>
      </w:pPr>
      <w:r>
        <w:t xml:space="preserve">Proposition 3(v) does not cover candidates chosen after inspecting the state.</w:t>
      </w:r>
    </w:p>
    <w:p>
      <w:pPr>
        <w:pStyle w:val="Compact"/>
        <w:numPr>
          <w:ilvl w:val="0"/>
          <w:numId w:val="1008"/>
        </w:numPr>
      </w:pPr>
      <w:r>
        <w:t xml:space="preserve">The historical continuously driven toy has three qubits and development-stage tuning. The original source-off pilot has four and six qubits; the later review extensions include eight. All use closed dynamics, supplied frames and restricted observation windows. Mean readability is not redundant-record formation.</w:t>
      </w:r>
    </w:p>
    <w:p>
      <w:pPr>
        <w:pStyle w:val="Compact"/>
        <w:numPr>
          <w:ilvl w:val="0"/>
          <w:numId w:val="1008"/>
        </w:numPr>
      </w:pPr>
      <w:r>
        <w:t xml:space="preserve">The prospective unrestricted search design is not executed. Several exact statistical, access and persistence components are checked, but component success is not an ensemble result.</w:t>
      </w:r>
    </w:p>
    <w:p>
      <w:pPr>
        <w:pStyle w:val="Compact"/>
        <w:numPr>
          <w:ilvl w:val="0"/>
          <w:numId w:val="1008"/>
        </w:numPr>
      </w:pPr>
      <w:r>
        <w:t xml:space="preserve">The locality residual measures operator weight relative to a declared span; it is not by itself a propagation velocity or a recovered spacetime geometry.</w:t>
      </w:r>
    </w:p>
    <w:p>
      <w:pPr>
        <w:pStyle w:val="FirstParagraph"/>
      </w:pPr>
      <w:r>
        <w:rPr>
          <w:b/>
          <w:bCs/>
        </w:rPr>
        <w:t xml:space="preserve">What would change the claims.</w:t>
      </w:r>
    </w:p>
    <w:p>
      <w:pPr>
        <w:pStyle w:val="Compact"/>
        <w:numPr>
          <w:ilvl w:val="0"/>
          <w:numId w:val="1009"/>
        </w:numPr>
      </w:pPr>
      <w:r>
        <w:t xml:space="preserve">An error in any proof withdraws the corresponding statement. Numerical agreement supports implementation checks but cannot repair a false general proof.</w:t>
      </w:r>
    </w:p>
    <w:p>
      <w:pPr>
        <w:pStyle w:val="Compact"/>
        <w:numPr>
          <w:ilvl w:val="0"/>
          <w:numId w:val="1009"/>
        </w:numPr>
      </w:pPr>
      <w:r>
        <w:t xml:space="preserve">For the prospective LRA-count target, an uncertainty-valid interval wholly below its predeclared margin counts against that contrast in its declared eligible population. A structurally built-in positive result does not provide the claimed discrimination. The older LRA-int and LRA-tot overlap hypotheses require their own justified reference null and cannot inherit the count-contrast verdict. Held-out model families and larger systems test generalisation, not the correctness of an already exhibited counterexample.</w:t>
      </w:r>
    </w:p>
    <w:p>
      <w:pPr>
        <w:pStyle w:val="Compact"/>
        <w:numPr>
          <w:ilvl w:val="0"/>
          <w:numId w:val="1009"/>
        </w:numPr>
      </w:pPr>
      <w:r>
        <w:t xml:space="preserve">Different post hoc interventions do not change the original predeclared estimand. More units sharpen sampling precision but do not identify an otherwise unspecified physical mechanism.</w:t>
      </w:r>
    </w:p>
    <w:p>
      <w:pPr>
        <w:pStyle w:val="FirstParagraph"/>
      </w:pPr>
      <w:r>
        <w:rPr>
          <w:b/>
          <w:bCs/>
        </w:rPr>
        <w:t xml:space="preserve">Competing interpretations.</w:t>
      </w:r>
    </w:p>
    <w:p>
      <w:pPr>
        <w:pStyle w:val="Compact"/>
        <w:numPr>
          <w:ilvl w:val="0"/>
          <w:numId w:val="1010"/>
        </w:numPr>
      </w:pPr>
      <w:r>
        <w:rPr>
          <w:i/>
          <w:iCs/>
        </w:rPr>
        <w:t xml:space="preserve">Einselection.</w:t>
      </w:r>
      <w:r>
        <w:t xml:space="preserve"> </w:t>
      </w:r>
      <w:r>
        <w:t xml:space="preserve">Any positive LRA-tot result may be the familiar statement that pointer observables are selected by the interaction Hamiltonian [Zurek 2003]. An LRA-tot result has further content only where the locality frame of the total Hamiltonian is not the frame of any single designed term.</w:t>
      </w:r>
    </w:p>
    <w:p>
      <w:pPr>
        <w:pStyle w:val="Compact"/>
        <w:numPr>
          <w:ilvl w:val="0"/>
          <w:numId w:val="1010"/>
        </w:numPr>
      </w:pPr>
      <w:r>
        <w:rPr>
          <w:i/>
          <w:iCs/>
        </w:rPr>
        <w:t xml:space="preserve">Algebraic criteria.</w:t>
      </w:r>
      <w:r>
        <w:t xml:space="preserve"> </w:t>
      </w:r>
      <w:r>
        <w:t xml:space="preserve">Criteria that do not privilege locality, such as minimal scrambling, may select the same frames for different reasons. They should be run as comparators.</w:t>
      </w:r>
    </w:p>
    <w:bookmarkEnd w:id="68"/>
    <w:bookmarkStart w:id="69" w:name="data-code-and-reproducibility"/>
    <w:p>
      <w:pPr>
        <w:pStyle w:val="Heading1"/>
      </w:pPr>
      <w:r>
        <w:t xml:space="preserve">10. Data, code and reproducibility</w:t>
      </w:r>
    </w:p>
    <w:p>
      <w:pPr>
        <w:pStyle w:val="FirstParagraph"/>
      </w:pPr>
      <w:r>
        <w:t xml:space="preserve">The accompanying Supplementary Information provides the complete run catalogue, parameters, random-stream rules, software environment, pre-execution records and commands. The circulation package contains immutable pilot inputs, per-unit outcomes, raw trajectories, numerical-control scripts and the secondary analyses reported here. Historical exploratory outputs retain their original definitions. Same-code replay and separate numerical implementations are distinguished from external replication; floating-point agreement is not a rigorous interval enclosure. No public persistent deposit or external scientific replication is claimed. All four size/arm pilot summaries, including adverse outcomes, are reported in the accompanying results log.</w:t>
      </w:r>
    </w:p>
    <w:bookmarkEnd w:id="69"/>
    <w:bookmarkStart w:id="70" w:name="declarations"/>
    <w:p>
      <w:pPr>
        <w:pStyle w:val="Heading1"/>
      </w:pPr>
      <w:r>
        <w:t xml:space="preserve">11. Declarations</w:t>
      </w:r>
    </w:p>
    <w:p>
      <w:pPr>
        <w:pStyle w:val="FirstParagraph"/>
      </w:pPr>
      <w:r>
        <w:t xml:space="preserve">The author is responsible for the claims and their final approval. Claude, ChatGPT and a Genspark-mediated review assisted analysis, source retrieval, code, drafting and editing; none is an author, and this assistance is not external peer review. No human-participant data were collected. Funding, competing interests and the final author/correspondence metadata remain subject to author confirmation before submission. The philosophical common-ground inquiry is a separate work; no quantum-information result here is evidence that a conscious or infinite substrate exists.</w:t>
      </w:r>
    </w:p>
    <w:bookmarkEnd w:id="70"/>
    <w:bookmarkStart w:id="100" w:name="references"/>
    <w:p>
      <w:pPr>
        <w:pStyle w:val="Heading1"/>
        <w:keepNext/>
      </w:pPr>
      <w:r>
        <w:t xml:space="preserve">References</w:t>
      </w:r>
    </w:p>
    <w:p>
      <w:pPr>
        <w:pStyle w:val="Compact"/>
        <w:numPr>
          <w:ilvl w:val="0"/>
          <w:numId w:val="1011"/>
        </w:numPr>
      </w:pPr>
      <w:r>
        <w:t xml:space="preserve">Adil, A., Rudolph, M. S., Arrasmith, A., Holmes, Z., Albrecht, A., and Sornborger, A. (2026). Search for classical subsystems in quantum worlds. Physical Review D 113, 103535 (2026).</w:t>
      </w:r>
      <w:r>
        <w:t xml:space="preserve"> </w:t>
      </w:r>
      <w:hyperlink r:id="rId71">
        <w:r>
          <w:rPr>
            <w:rStyle w:val="Hyperlink"/>
          </w:rPr>
          <w:t xml:space="preserve">https://doi.org/10.1103/vj4x-96fk</w:t>
        </w:r>
      </w:hyperlink>
      <w:r>
        <w:t xml:space="preserve">. Preprint arXiv:2403.10895.</w:t>
      </w:r>
    </w:p>
    <w:p>
      <w:pPr>
        <w:pStyle w:val="Compact"/>
        <w:numPr>
          <w:ilvl w:val="0"/>
          <w:numId w:val="1011"/>
        </w:numPr>
      </w:pPr>
      <w:r>
        <w:t xml:space="preserve">Andreadakis, F., and Zanardi, P. (2025). Tensor product structure geometry under unitary channels. Quantum 9, 1668.</w:t>
      </w:r>
      <w:r>
        <w:t xml:space="preserve"> </w:t>
      </w:r>
      <w:hyperlink r:id="rId72">
        <w:r>
          <w:rPr>
            <w:rStyle w:val="Hyperlink"/>
          </w:rPr>
          <w:t xml:space="preserve">https://doi.org/10.22331/q-2025-03-25-1668</w:t>
        </w:r>
      </w:hyperlink>
    </w:p>
    <w:p>
      <w:pPr>
        <w:pStyle w:val="Compact"/>
        <w:numPr>
          <w:ilvl w:val="0"/>
          <w:numId w:val="1011"/>
        </w:numPr>
      </w:pPr>
      <w:r>
        <w:t xml:space="preserve">Andreadakis, F., Dallas, E., and Zanardi, P. (2023). Long-time quantum information scrambling and emergent mereology. arXiv:2312.13386.</w:t>
      </w:r>
    </w:p>
    <w:p>
      <w:pPr>
        <w:pStyle w:val="Compact"/>
        <w:numPr>
          <w:ilvl w:val="0"/>
          <w:numId w:val="1011"/>
        </w:numPr>
      </w:pPr>
      <w:r>
        <w:t xml:space="preserve">Brandão, F. G. S. L., Piani, M., and Horodecki, P. (2015). Generic emergence of classical features in quantum Darwinism. Nature Communications 6, 7908.</w:t>
      </w:r>
      <w:r>
        <w:t xml:space="preserve"> </w:t>
      </w:r>
      <w:hyperlink r:id="rId73">
        <w:r>
          <w:rPr>
            <w:rStyle w:val="Hyperlink"/>
          </w:rPr>
          <w:t xml:space="preserve">https://doi.org/10.1038/ncomms8908</w:t>
        </w:r>
      </w:hyperlink>
    </w:p>
    <w:p>
      <w:pPr>
        <w:pStyle w:val="Compact"/>
        <w:numPr>
          <w:ilvl w:val="0"/>
          <w:numId w:val="1011"/>
        </w:numPr>
      </w:pPr>
      <w:r>
        <w:t xml:space="preserve">Cao, C., Carroll, S. M., and Michalakis, S. (2017). Space from Hilbert space: Recovering geometry from bulk entanglement. Physical Review D 95, 024031.</w:t>
      </w:r>
      <w:r>
        <w:t xml:space="preserve"> </w:t>
      </w:r>
      <w:hyperlink r:id="rId74">
        <w:r>
          <w:rPr>
            <w:rStyle w:val="Hyperlink"/>
          </w:rPr>
          <w:t xml:space="preserve">https://doi.org/10.1103/PhysRevD.95.024031</w:t>
        </w:r>
      </w:hyperlink>
    </w:p>
    <w:p>
      <w:pPr>
        <w:pStyle w:val="Compact"/>
        <w:numPr>
          <w:ilvl w:val="0"/>
          <w:numId w:val="1011"/>
        </w:numPr>
      </w:pPr>
      <w:r>
        <w:t xml:space="preserve">Carroll, S. M., and Singh, A. (2021). Quantum mereology: Factorizing Hilbert space into subsystems with quasiclassical dynamics. Physical Review A 103, 022213.</w:t>
      </w:r>
      <w:r>
        <w:t xml:space="preserve"> </w:t>
      </w:r>
      <w:hyperlink r:id="rId75">
        <w:r>
          <w:rPr>
            <w:rStyle w:val="Hyperlink"/>
          </w:rPr>
          <w:t xml:space="preserve">https://doi.org/10.1103/PhysRevA.103.022213</w:t>
        </w:r>
      </w:hyperlink>
    </w:p>
    <w:p>
      <w:pPr>
        <w:pStyle w:val="Compact"/>
        <w:numPr>
          <w:ilvl w:val="0"/>
          <w:numId w:val="1011"/>
        </w:numPr>
      </w:pPr>
      <w:r>
        <w:t xml:space="preserve">Cotler, J. S., Penington, G. R., and Ranard, D. H. (2019). Locality from the spectrum. Communications in Mathematical Physics 368, 1267-1296.</w:t>
      </w:r>
      <w:r>
        <w:t xml:space="preserve"> </w:t>
      </w:r>
      <w:hyperlink r:id="rId76">
        <w:r>
          <w:rPr>
            <w:rStyle w:val="Hyperlink"/>
          </w:rPr>
          <w:t xml:space="preserve">https://doi.org/10.1007/s00220-019-03376-w</w:t>
        </w:r>
      </w:hyperlink>
    </w:p>
    <w:p>
      <w:pPr>
        <w:pStyle w:val="Compact"/>
        <w:numPr>
          <w:ilvl w:val="0"/>
          <w:numId w:val="1011"/>
        </w:numPr>
      </w:pPr>
      <w:r>
        <w:t xml:space="preserve">Goldstein, S., Lebowitz, J. L., Tumulka, R., and Zanghì, N. (2006). Canonical typicality. Physical Review Letters 96, 050403.</w:t>
      </w:r>
    </w:p>
    <w:p>
      <w:pPr>
        <w:pStyle w:val="Compact"/>
        <w:numPr>
          <w:ilvl w:val="0"/>
          <w:numId w:val="1011"/>
        </w:numPr>
      </w:pPr>
      <w:r>
        <w:t xml:space="preserve">Hayden, P., Leung, D. W., and Winter, A. (2006). Aspects of generic entanglement. Communications in Mathematical Physics 265, 95-117.</w:t>
      </w:r>
    </w:p>
    <w:p>
      <w:pPr>
        <w:pStyle w:val="Compact"/>
        <w:numPr>
          <w:ilvl w:val="0"/>
          <w:numId w:val="1011"/>
        </w:numPr>
      </w:pPr>
      <w:r>
        <w:t xml:space="preserve">Helstrom, C. W. (1969). Quantum detection and estimation theory. Journal of Statistical Physics 1, 231-252.</w:t>
      </w:r>
      <w:r>
        <w:t xml:space="preserve"> </w:t>
      </w:r>
      <w:hyperlink r:id="rId77">
        <w:r>
          <w:rPr>
            <w:rStyle w:val="Hyperlink"/>
          </w:rPr>
          <w:t xml:space="preserve">https://doi.org/10.1007/BF01007479</w:t>
        </w:r>
      </w:hyperlink>
    </w:p>
    <w:p>
      <w:pPr>
        <w:pStyle w:val="Compact"/>
        <w:numPr>
          <w:ilvl w:val="0"/>
          <w:numId w:val="1011"/>
        </w:numPr>
      </w:pPr>
      <w:r>
        <w:t xml:space="preserve">Hemerik, J., and Goeman, J. (2018). Exact testing with random permutations. TEST 27, 811-825.</w:t>
      </w:r>
      <w:r>
        <w:t xml:space="preserve"> </w:t>
      </w:r>
      <w:hyperlink r:id="rId78">
        <w:r>
          <w:rPr>
            <w:rStyle w:val="Hyperlink"/>
          </w:rPr>
          <w:t xml:space="preserve">https://doi.org/10.1007/s11749-017-0571-1</w:t>
        </w:r>
      </w:hyperlink>
      <w:r>
        <w:t xml:space="preserve"> </w:t>
      </w:r>
      <w:r>
        <w:t xml:space="preserve">; author manuscript</w:t>
      </w:r>
      <w:r>
        <w:t xml:space="preserve"> </w:t>
      </w:r>
      <w:hyperlink r:id="rId79">
        <w:r>
          <w:rPr>
            <w:rStyle w:val="Hyperlink"/>
          </w:rPr>
          <w:t xml:space="preserve">https://arxiv.org/abs/1411.7565</w:t>
        </w:r>
      </w:hyperlink>
    </w:p>
    <w:p>
      <w:pPr>
        <w:pStyle w:val="Compact"/>
        <w:numPr>
          <w:ilvl w:val="0"/>
          <w:numId w:val="1011"/>
        </w:numPr>
      </w:pPr>
      <w:r>
        <w:t xml:space="preserve">Hoeffding, W. (1963). Probability inequalities for sums of bounded random variables. Journal of the American Statistical Association 58(301), 13-30.</w:t>
      </w:r>
      <w:r>
        <w:t xml:space="preserve"> </w:t>
      </w:r>
      <w:hyperlink r:id="rId80">
        <w:r>
          <w:rPr>
            <w:rStyle w:val="Hyperlink"/>
          </w:rPr>
          <w:t xml:space="preserve">https://doi.org/10.1080/01621459.1963.10500830</w:t>
        </w:r>
      </w:hyperlink>
    </w:p>
    <w:p>
      <w:pPr>
        <w:pStyle w:val="Compact"/>
        <w:numPr>
          <w:ilvl w:val="0"/>
          <w:numId w:val="1011"/>
        </w:numPr>
      </w:pPr>
      <w:r>
        <w:t xml:space="preserve">Holm, S. (1979). A simple sequentially rejective multiple test procedure. Scandinavian Journal of Statistics 6(2), 65-70.</w:t>
      </w:r>
      <w:r>
        <w:t xml:space="preserve"> </w:t>
      </w:r>
      <w:hyperlink r:id="rId81">
        <w:r>
          <w:rPr>
            <w:rStyle w:val="Hyperlink"/>
          </w:rPr>
          <w:t xml:space="preserve">https://www.jstor.org/stable/4615733</w:t>
        </w:r>
      </w:hyperlink>
    </w:p>
    <w:p>
      <w:pPr>
        <w:pStyle w:val="Compact"/>
        <w:numPr>
          <w:ilvl w:val="0"/>
          <w:numId w:val="1011"/>
        </w:numPr>
      </w:pPr>
      <w:r>
        <w:t xml:space="preserve">Horodecki, R., Korbicz, J. K., and Horodecki, P. (2015). Quantum origins of objectivity. Physical Review A 91, 032122.</w:t>
      </w:r>
    </w:p>
    <w:p>
      <w:pPr>
        <w:pStyle w:val="Compact"/>
        <w:numPr>
          <w:ilvl w:val="0"/>
          <w:numId w:val="1011"/>
        </w:numPr>
      </w:pPr>
      <w:r>
        <w:t xml:space="preserve">Kumar, M. (2023). Quantum Darwinism and Preferred Choice of Subsystems. Pitzer Senior Theses, 187.</w:t>
      </w:r>
      <w:r>
        <w:t xml:space="preserve"> </w:t>
      </w:r>
      <w:hyperlink r:id="rId82">
        <w:r>
          <w:rPr>
            <w:rStyle w:val="Hyperlink"/>
          </w:rPr>
          <w:t xml:space="preserve">https://scholarship.claremont.edu/pitzer_theses/187/</w:t>
        </w:r>
      </w:hyperlink>
    </w:p>
    <w:p>
      <w:pPr>
        <w:pStyle w:val="Compact"/>
        <w:numPr>
          <w:ilvl w:val="0"/>
          <w:numId w:val="1011"/>
        </w:numPr>
      </w:pPr>
      <w:r>
        <w:t xml:space="preserve">Le, T. P., and Olaya-Castro, A. (2019). Strong quantum Darwinism and strong independence are equivalent to spectrum broadcast structure. Physical Review Letters 122, 010403.</w:t>
      </w:r>
      <w:r>
        <w:t xml:space="preserve"> </w:t>
      </w:r>
      <w:hyperlink r:id="rId83">
        <w:r>
          <w:rPr>
            <w:rStyle w:val="Hyperlink"/>
          </w:rPr>
          <w:t xml:space="preserve">https://doi.org/10.1103/PhysRevLett.122.010403</w:t>
        </w:r>
      </w:hyperlink>
    </w:p>
    <w:p>
      <w:pPr>
        <w:pStyle w:val="Compact"/>
        <w:numPr>
          <w:ilvl w:val="0"/>
          <w:numId w:val="1011"/>
        </w:numPr>
      </w:pPr>
      <w:r>
        <w:t xml:space="preserve">Le, T. P., and Olaya-Castro, A. (2021). Reply to Comment on</w:t>
      </w:r>
      <w:r>
        <w:t xml:space="preserve"> </w:t>
      </w:r>
      <w:r>
        <w:t xml:space="preserve">“</w:t>
      </w:r>
      <w:r>
        <w:t xml:space="preserve">Strong quantum Darwinism and strong independence are equivalent to spectrum broadcast structure</w:t>
      </w:r>
      <w:r>
        <w:t xml:space="preserve">”</w:t>
      </w:r>
      <w:r>
        <w:t xml:space="preserve">. arXiv:2101.10756.</w:t>
      </w:r>
    </w:p>
    <w:p>
      <w:pPr>
        <w:pStyle w:val="Compact"/>
        <w:numPr>
          <w:ilvl w:val="0"/>
          <w:numId w:val="1011"/>
        </w:numPr>
      </w:pPr>
      <w:r>
        <w:t xml:space="preserve">Lieb, E. H., and Robinson, D. W. (1972). The finite group velocity of quantum spin systems. Communications in Mathematical Physics 28, 251-257.</w:t>
      </w:r>
      <w:r>
        <w:t xml:space="preserve"> </w:t>
      </w:r>
      <w:hyperlink r:id="rId84">
        <w:r>
          <w:rPr>
            <w:rStyle w:val="Hyperlink"/>
          </w:rPr>
          <w:t xml:space="preserve">https://doi.org/10.1007/BF01645779</w:t>
        </w:r>
      </w:hyperlink>
    </w:p>
    <w:p>
      <w:pPr>
        <w:pStyle w:val="Compact"/>
        <w:numPr>
          <w:ilvl w:val="0"/>
          <w:numId w:val="1011"/>
        </w:numPr>
      </w:pPr>
      <w:r>
        <w:t xml:space="preserve">Loizeau, N., and Sels, D. (2025). Quantum mereology and subsystems from the spectrum. Foundations of Physics 55, 3.</w:t>
      </w:r>
      <w:r>
        <w:t xml:space="preserve"> </w:t>
      </w:r>
      <w:hyperlink r:id="rId85">
        <w:r>
          <w:rPr>
            <w:rStyle w:val="Hyperlink"/>
          </w:rPr>
          <w:t xml:space="preserve">https://doi.org/10.1007/s10701-024-00813-2</w:t>
        </w:r>
      </w:hyperlink>
    </w:p>
    <w:p>
      <w:pPr>
        <w:pStyle w:val="Compact"/>
        <w:numPr>
          <w:ilvl w:val="0"/>
          <w:numId w:val="1011"/>
        </w:numPr>
      </w:pPr>
      <w:r>
        <w:t xml:space="preserve">Maurer, A., and Pontil, M. (2009). Empirical Bernstein Bounds and Sample Variance Penalization. Proceedings of COLT 2009. arXiv:0907.3740.</w:t>
      </w:r>
      <w:r>
        <w:t xml:space="preserve"> </w:t>
      </w:r>
      <w:hyperlink r:id="rId86">
        <w:r>
          <w:rPr>
            <w:rStyle w:val="Hyperlink"/>
          </w:rPr>
          <w:t xml:space="preserve">https://arxiv.org/abs/0907.3740</w:t>
        </w:r>
      </w:hyperlink>
    </w:p>
    <w:p>
      <w:pPr>
        <w:pStyle w:val="Compact"/>
        <w:numPr>
          <w:ilvl w:val="0"/>
          <w:numId w:val="1011"/>
        </w:numPr>
      </w:pPr>
      <w:r>
        <w:t xml:space="preserve">Ollivier, H. (2022). Emergence of Objectivity for Quantum Many-Body Systems. Entropy 24(2), 277.</w:t>
      </w:r>
      <w:r>
        <w:t xml:space="preserve"> </w:t>
      </w:r>
      <w:hyperlink r:id="rId87">
        <w:r>
          <w:rPr>
            <w:rStyle w:val="Hyperlink"/>
          </w:rPr>
          <w:t xml:space="preserve">https://doi.org/10.3390/e24020277</w:t>
        </w:r>
      </w:hyperlink>
      <w:r>
        <w:t xml:space="preserve"> </w:t>
      </w:r>
      <w:r>
        <w:t xml:space="preserve">;</w:t>
      </w:r>
      <w:r>
        <w:t xml:space="preserve"> </w:t>
      </w:r>
      <w:hyperlink r:id="rId88">
        <w:r>
          <w:rPr>
            <w:rStyle w:val="Hyperlink"/>
          </w:rPr>
          <w:t xml:space="preserve">https://arxiv.org/html/2202.06832v1</w:t>
        </w:r>
      </w:hyperlink>
    </w:p>
    <w:p>
      <w:pPr>
        <w:pStyle w:val="Compact"/>
        <w:numPr>
          <w:ilvl w:val="0"/>
          <w:numId w:val="1011"/>
        </w:numPr>
      </w:pPr>
      <w:r>
        <w:t xml:space="preserve">Ollivier, H., Poulin, D., and Zurek, W. H. (2004). Objective properties from subjective quantum states: Environment as a witness. Physical Review Letters 93, 220401.</w:t>
      </w:r>
    </w:p>
    <w:p>
      <w:pPr>
        <w:pStyle w:val="Compact"/>
        <w:numPr>
          <w:ilvl w:val="0"/>
          <w:numId w:val="1011"/>
        </w:numPr>
      </w:pPr>
      <w:r>
        <w:t xml:space="preserve">Page, D. N. (1993). Average entropy of a subsystem. Physical Review Letters 71, 1291. arXiv:gr-qc/9305007</w:t>
      </w:r>
    </w:p>
    <w:p>
      <w:pPr>
        <w:pStyle w:val="Compact"/>
        <w:numPr>
          <w:ilvl w:val="0"/>
          <w:numId w:val="1011"/>
        </w:numPr>
      </w:pPr>
      <w:r>
        <w:t xml:space="preserve">Paz, J. P., and Zurek, W. H. (1999). Quantum limit of decoherence: Environment induced superselection of energy eigenstates. Physical Review Letters 82, 5181-5185.</w:t>
      </w:r>
      <w:r>
        <w:t xml:space="preserve"> </w:t>
      </w:r>
      <w:hyperlink r:id="rId89">
        <w:r>
          <w:rPr>
            <w:rStyle w:val="Hyperlink"/>
          </w:rPr>
          <w:t xml:space="preserve">https://doi.org/10.1103/PhysRevLett.82.5181</w:t>
        </w:r>
      </w:hyperlink>
    </w:p>
    <w:p>
      <w:pPr>
        <w:pStyle w:val="Compact"/>
        <w:numPr>
          <w:ilvl w:val="0"/>
          <w:numId w:val="1011"/>
        </w:numPr>
      </w:pPr>
      <w:r>
        <w:t xml:space="preserve">Phipson, B., and Smyth, G. K. (2010). Permutation p-values should never be zero: Calculating exact p-values when permutations are randomly drawn. Statistical Applications in Genetics and Molecular Biology 9(1), Article 39.</w:t>
      </w:r>
      <w:r>
        <w:t xml:space="preserve"> </w:t>
      </w:r>
      <w:hyperlink r:id="rId90">
        <w:r>
          <w:rPr>
            <w:rStyle w:val="Hyperlink"/>
          </w:rPr>
          <w:t xml:space="preserve">https://doi.org/10.2202/1544-6115.1585</w:t>
        </w:r>
      </w:hyperlink>
    </w:p>
    <w:p>
      <w:pPr>
        <w:pStyle w:val="Compact"/>
        <w:numPr>
          <w:ilvl w:val="0"/>
          <w:numId w:val="1011"/>
        </w:numPr>
      </w:pPr>
      <w:r>
        <w:t xml:space="preserve">Popescu, S., Short, A. J., and Winter, A. (2006). Entanglement and the foundations of statistical mechanics. Nature Physics 2, 754-758.</w:t>
      </w:r>
      <w:r>
        <w:t xml:space="preserve"> </w:t>
      </w:r>
      <w:hyperlink r:id="rId91">
        <w:r>
          <w:rPr>
            <w:rStyle w:val="Hyperlink"/>
          </w:rPr>
          <w:t xml:space="preserve">https://doi.org/10.1038/nphys444</w:t>
        </w:r>
      </w:hyperlink>
      <w:r>
        <w:t xml:space="preserve"> </w:t>
      </w:r>
      <w:r>
        <w:t xml:space="preserve">The longer author preprint,</w:t>
      </w:r>
      <w:r>
        <w:t xml:space="preserve"> </w:t>
      </w:r>
      <w:r>
        <w:rPr>
          <w:i/>
          <w:iCs/>
        </w:rPr>
        <w:t xml:space="preserve">The foundations of statistical mechanics from entanglement: Individual states vs. averages</w:t>
      </w:r>
      <w:r>
        <w:t xml:space="preserve">, arXiv:quant-ph/0511225v3, supplies the explicit concentration Lemma 3 and Eqs. 20 to 22 used in Appendix F. These are related accounts, not independent evidence.</w:t>
      </w:r>
    </w:p>
    <w:p>
      <w:pPr>
        <w:pStyle w:val="Compact"/>
        <w:numPr>
          <w:ilvl w:val="0"/>
          <w:numId w:val="1011"/>
        </w:numPr>
      </w:pPr>
      <w:r>
        <w:t xml:space="preserve">Riedel, C. J. (2017). Classical branch structure from spatial redundancy in a many-body wave function. Physical Review Letters 118, 120402. arXiv:1608.05377</w:t>
      </w:r>
    </w:p>
    <w:p>
      <w:pPr>
        <w:pStyle w:val="Compact"/>
        <w:numPr>
          <w:ilvl w:val="0"/>
          <w:numId w:val="1011"/>
        </w:numPr>
      </w:pPr>
      <w:r>
        <w:t xml:space="preserve">Riedel, C. J., Zurek, W. H., and Zwolak, M. (2012). The rise and fall of redundancy in decoherence and quantum Darwinism. New Journal of Physics 14, 083010.</w:t>
      </w:r>
      <w:r>
        <w:t xml:space="preserve"> </w:t>
      </w:r>
      <w:hyperlink r:id="rId92">
        <w:r>
          <w:rPr>
            <w:rStyle w:val="Hyperlink"/>
          </w:rPr>
          <w:t xml:space="preserve">https://arxiv.org/abs/1205.3197</w:t>
        </w:r>
      </w:hyperlink>
    </w:p>
    <w:p>
      <w:pPr>
        <w:pStyle w:val="Compact"/>
        <w:numPr>
          <w:ilvl w:val="0"/>
          <w:numId w:val="1011"/>
        </w:numPr>
      </w:pPr>
      <w:r>
        <w:t xml:space="preserve">Soulas, A., Franzmann, G., and Di Biagio, A. (2025). On the emergence of preferred structures in quantum theory. arXiv:2512.07468.</w:t>
      </w:r>
    </w:p>
    <w:p>
      <w:pPr>
        <w:pStyle w:val="Compact"/>
        <w:numPr>
          <w:ilvl w:val="0"/>
          <w:numId w:val="1011"/>
        </w:numPr>
      </w:pPr>
      <w:r>
        <w:t xml:space="preserve">Stoica, O. C. (2022). 3D-space and the preferred basis cannot uniquely emerge from the quantum structure. arXiv:2102.08620. Advances in Theoretical and Mathematical Physics 26(10), 3895-3962.</w:t>
      </w:r>
      <w:r>
        <w:t xml:space="preserve"> </w:t>
      </w:r>
      <w:hyperlink r:id="rId93">
        <w:r>
          <w:rPr>
            <w:rStyle w:val="Hyperlink"/>
          </w:rPr>
          <w:t xml:space="preserve">https://doi.org/10.4310/ATMP.2022.v26.n10.a12</w:t>
        </w:r>
      </w:hyperlink>
    </w:p>
    <w:p>
      <w:pPr>
        <w:pStyle w:val="Compact"/>
        <w:numPr>
          <w:ilvl w:val="0"/>
          <w:numId w:val="1011"/>
        </w:numPr>
      </w:pPr>
      <w:r>
        <w:t xml:space="preserve">Stoica, O. C. (2026). Comment on</w:t>
      </w:r>
      <w:r>
        <w:t xml:space="preserve"> </w:t>
      </w:r>
      <w:r>
        <w:t xml:space="preserve">“</w:t>
      </w:r>
      <w:r>
        <w:t xml:space="preserve">On the emergence of preferred structures in quantum theory</w:t>
      </w:r>
      <w:r>
        <w:t xml:space="preserve">”</w:t>
      </w:r>
      <w:r>
        <w:t xml:space="preserve"> </w:t>
      </w:r>
      <w:r>
        <w:t xml:space="preserve">by Soulas, Franzmann, and Di Biagio. arXiv:2603.07674.</w:t>
      </w:r>
    </w:p>
    <w:p>
      <w:pPr>
        <w:pStyle w:val="Compact"/>
        <w:numPr>
          <w:ilvl w:val="0"/>
          <w:numId w:val="1011"/>
        </w:numPr>
      </w:pPr>
      <w:r>
        <w:t xml:space="preserve">Wilde, M. M. (2019). From classical to quantum Shannon theory. arXiv:1106.1445, version 8.</w:t>
      </w:r>
    </w:p>
    <w:p>
      <w:pPr>
        <w:pStyle w:val="Compact"/>
        <w:numPr>
          <w:ilvl w:val="0"/>
          <w:numId w:val="1011"/>
        </w:numPr>
      </w:pPr>
      <w:r>
        <w:t xml:space="preserve">Zanardi, P. (2001). Virtual quantum subsystems. Physical Review Letters 87, 077901.</w:t>
      </w:r>
      <w:r>
        <w:t xml:space="preserve"> </w:t>
      </w:r>
      <w:hyperlink r:id="rId94">
        <w:r>
          <w:rPr>
            <w:rStyle w:val="Hyperlink"/>
          </w:rPr>
          <w:t xml:space="preserve">https://doi.org/10.1103/PhysRevLett.87.077901</w:t>
        </w:r>
      </w:hyperlink>
    </w:p>
    <w:p>
      <w:pPr>
        <w:pStyle w:val="Compact"/>
        <w:numPr>
          <w:ilvl w:val="0"/>
          <w:numId w:val="1011"/>
        </w:numPr>
      </w:pPr>
      <w:r>
        <w:t xml:space="preserve">Zanardi, P., Dallas, E., Andreadakis, F., and Lloyd, S. (2024). Operational quantum mereology and minimal scrambling. Quantum 8, 1406.</w:t>
      </w:r>
      <w:r>
        <w:t xml:space="preserve"> </w:t>
      </w:r>
      <w:hyperlink r:id="rId95">
        <w:r>
          <w:rPr>
            <w:rStyle w:val="Hyperlink"/>
          </w:rPr>
          <w:t xml:space="preserve">https://doi.org/10.22331/q-2024-07-11-1406</w:t>
        </w:r>
      </w:hyperlink>
    </w:p>
    <w:p>
      <w:pPr>
        <w:pStyle w:val="Compact"/>
        <w:numPr>
          <w:ilvl w:val="0"/>
          <w:numId w:val="1011"/>
        </w:numPr>
      </w:pPr>
      <w:r>
        <w:t xml:space="preserve">Zanardi, P., Lidar, D. A., and Lloyd, S. (2004). Quantum tensor product structures are observable induced. Physical Review Letters 92, 060402.</w:t>
      </w:r>
      <w:r>
        <w:t xml:space="preserve"> </w:t>
      </w:r>
      <w:hyperlink r:id="rId96">
        <w:r>
          <w:rPr>
            <w:rStyle w:val="Hyperlink"/>
          </w:rPr>
          <w:t xml:space="preserve">https://doi.org/10.1103/PhysRevLett.92.060402</w:t>
        </w:r>
      </w:hyperlink>
    </w:p>
    <w:p>
      <w:pPr>
        <w:pStyle w:val="Compact"/>
        <w:numPr>
          <w:ilvl w:val="0"/>
          <w:numId w:val="1011"/>
        </w:numPr>
      </w:pPr>
      <w:r>
        <w:t xml:space="preserve">Zurek, W. H. (2003). Decoherence, einselection, and the quantum origins of the classical. Reviews of Modern Physics 75, 715-775.</w:t>
      </w:r>
      <w:r>
        <w:t xml:space="preserve"> </w:t>
      </w:r>
      <w:hyperlink r:id="rId97">
        <w:r>
          <w:rPr>
            <w:rStyle w:val="Hyperlink"/>
          </w:rPr>
          <w:t xml:space="preserve">https://doi.org/10.1103/RevModPhys.75.715</w:t>
        </w:r>
      </w:hyperlink>
    </w:p>
    <w:p>
      <w:pPr>
        <w:pStyle w:val="Compact"/>
        <w:numPr>
          <w:ilvl w:val="0"/>
          <w:numId w:val="1011"/>
        </w:numPr>
      </w:pPr>
      <w:r>
        <w:t xml:space="preserve">Zurek, W. H. (2009). Quantum Darwinism. Nature Physics 5, 181-188.</w:t>
      </w:r>
      <w:r>
        <w:t xml:space="preserve"> </w:t>
      </w:r>
      <w:hyperlink r:id="rId98">
        <w:r>
          <w:rPr>
            <w:rStyle w:val="Hyperlink"/>
          </w:rPr>
          <w:t xml:space="preserve">https://doi.org/10.1038/nphys1202</w:t>
        </w:r>
      </w:hyperlink>
    </w:p>
    <w:p>
      <w:pPr>
        <w:pStyle w:val="Compact"/>
        <w:numPr>
          <w:ilvl w:val="0"/>
          <w:numId w:val="1011"/>
        </w:numPr>
      </w:pPr>
      <w:r>
        <w:t xml:space="preserve">Zwolak, M., Quan, H. T., and Zurek, W. H. (2010). Quantum Darwinism in non-ideal environments. Physical Review A 81, 062110.</w:t>
      </w:r>
      <w:r>
        <w:t xml:space="preserve"> </w:t>
      </w:r>
      <w:hyperlink r:id="rId99">
        <w:r>
          <w:rPr>
            <w:rStyle w:val="Hyperlink"/>
          </w:rPr>
          <w:t xml:space="preserve">https://arxiv.org/abs/0911.4307</w:t>
        </w:r>
      </w:hyperlink>
    </w:p>
    <w:bookmarkEnd w:id="100"/>
    <w:bookmarkStart w:id="101" w:name="appendix-a.-numerical-provenance"/>
    <w:p>
      <w:pPr>
        <w:pStyle w:val="Heading1"/>
        <w:keepNext/>
      </w:pPr>
      <w:r>
        <w:t xml:space="preserve">Appendix A. Numerical provenance</w:t>
      </w:r>
    </w:p>
    <w:p>
      <w:pPr>
        <w:pStyle w:val="FirstParagraph"/>
      </w:pPr>
      <w:r>
        <w:t xml:space="preserve">Supplement Section S1 maps every displayed numerical result to its original script, output key and sample definition. The historical 2,000-draw twirl sample and the separate 1,200-draw calibration target the same exact expectation but are not one enlarged sample. The source-off data, post hoc sign analysis and transport-window diagnostic have distinct run records. Version and file-path details are kept there so that they do not substitute for the scientific argument.</w:t>
      </w:r>
    </w:p>
    <w:bookmarkEnd w:id="101"/>
    <w:bookmarkStart w:id="102" w:name="appendix-b.-scope-of-results"/>
    <w:p>
      <w:pPr>
        <w:pStyle w:val="Heading1"/>
        <w:keepNext/>
      </w:pPr>
      <w:r>
        <w:t xml:space="preserve">Appendix B. Scope of results</w:t>
      </w:r>
    </w:p>
    <w:p>
      <w:pPr>
        <w:pStyle w:val="FirstParagraph"/>
      </w:pPr>
      <w:r>
        <w:t xml:space="preserve">The score, covariance, conditional typicality, continuity and finite-cover statements are mathematical results under their explicit premises. Numerical agreement is corroboration of an implementation, not a proof of the universal statements. The finite-cover result is a concentration-and-net corollary; historical priority is not asserted.</w:t>
      </w:r>
    </w:p>
    <w:p>
      <w:pPr>
        <w:pStyle w:val="BodyText"/>
      </w:pPr>
      <w:r>
        <w:t xml:space="preserve">The continuously driven simulations are exploratory and time-averaged. The source-off experiment is a separately specified finite readability pilot. Neither tests the original model-class overlap conjectures or recovers an unknown metric. The proposed persistent count comparison remains a different prospective study. Full-space Haar assumptions are not an empirical preparation model for the universe.</w:t>
      </w:r>
    </w:p>
    <w:bookmarkEnd w:id="102"/>
    <w:bookmarkStart w:id="106" w:name="appendix-c.-mixed-conditional-typicality"/>
    <w:p>
      <w:pPr>
        <w:pStyle w:val="Heading1"/>
        <w:keepNext/>
      </w:pPr>
      <w:r>
        <w:t xml:space="preserve">Appendix C. Mixed conditional typicality</w:t>
      </w:r>
    </w:p>
    <w:p>
      <w:pPr>
        <w:pStyle w:val="FirstParagraph"/>
      </w:pPr>
      <w:r>
        <w:rPr>
          <w:b/>
          <w:bCs/>
        </w:rPr>
        <w:t xml:space="preserve">Proposition 4.</w:t>
      </w:r>
      <w:r>
        <w:t xml:space="preserve"> </w:t>
      </w:r>
      <w:r>
        <w:t xml:space="preserve">Conditional on design information</w:t>
      </w:r>
      <w:r>
        <w:t xml:space="preserve"> </w:t>
      </w:r>
      <m:oMath>
        <m:r>
          <m:t>Z</m:t>
        </m:r>
        <m:r>
          <m:rPr>
            <m:sty m:val="p"/>
          </m:rPr>
          <m:t>=</m:t>
        </m:r>
        <m:r>
          <m:t>z</m:t>
        </m:r>
      </m:oMath>
      <w:r>
        <w:t xml:space="preserve"> </w:t>
      </w:r>
      <w:r>
        <w:t xml:space="preserve">that fixes the candidate frame, let each branch have a unitarily invariant density-operator marginal in dimension</w:t>
      </w:r>
      <w:r>
        <w:t xml:space="preserve"> </w:t>
      </w:r>
      <m:oMath>
        <m:r>
          <m:t>d</m:t>
        </m:r>
        <m:r>
          <m:rPr>
            <m:sty m:val="p"/>
          </m:rPr>
          <m:t>=</m:t>
        </m:r>
        <m:sSub>
          <m:e>
            <m:r>
              <m:t>d</m:t>
            </m:r>
          </m:e>
          <m:sub>
            <m:r>
              <m:t>F</m:t>
            </m:r>
          </m:sub>
        </m:sSub>
        <m:sSub>
          <m:e>
            <m:r>
              <m:t>d</m:t>
            </m:r>
          </m:e>
          <m:sub>
            <m:r>
              <m:t>R</m:t>
            </m:r>
          </m:sub>
        </m:sSub>
      </m:oMath>
      <w:r>
        <w:t xml:space="preserve">. Write</w:t>
      </w:r>
      <w:r>
        <w:t xml:space="preserve"> </w:t>
      </w:r>
      <m:oMath>
        <m:sSub>
          <m:e>
            <m:r>
              <m:rPr>
                <m:sty m:val="p"/>
                <m:scr m:val="double-struck"/>
              </m:rPr>
              <m:t>E</m:t>
            </m:r>
          </m:e>
          <m:sub>
            <m:r>
              <m:t>z</m:t>
            </m:r>
          </m:sub>
        </m:sSub>
        <m:r>
          <m:rPr>
            <m:sty m:val="p"/>
          </m:rPr>
          <m:t>[</m:t>
        </m:r>
        <m:r>
          <m:rPr>
            <m:sty m:val="p"/>
          </m:rPr>
          <m:t>⋅</m:t>
        </m:r>
        <m:r>
          <m:rPr>
            <m:sty m:val="p"/>
          </m:rPr>
          <m:t>]</m:t>
        </m:r>
        <m:r>
          <m:rPr>
            <m:sty m:val="p"/>
          </m:rPr>
          <m:t>=</m:t>
        </m:r>
        <m:r>
          <m:rPr>
            <m:sty m:val="p"/>
            <m:scr m:val="double-struck"/>
          </m:rPr>
          <m:t>E</m:t>
        </m:r>
        <m:r>
          <m:rPr>
            <m:sty m:val="p"/>
          </m:rPr>
          <m:t>[</m:t>
        </m:r>
        <m:r>
          <m:rPr>
            <m:sty m:val="p"/>
          </m:rPr>
          <m:t>⋅</m:t>
        </m:r>
        <m:r>
          <m:rPr>
            <m:sty m:val="p"/>
          </m:rPr>
          <m:t>∣</m:t>
        </m:r>
        <m:r>
          <m:t>Z</m:t>
        </m:r>
        <m:r>
          <m:rPr>
            <m:sty m:val="p"/>
          </m:rPr>
          <m:t>=</m:t>
        </m:r>
        <m:r>
          <m:t>z</m:t>
        </m:r>
        <m:r>
          <m:rPr>
            <m:sty m:val="p"/>
          </m:rPr>
          <m:t>]</m:t>
        </m:r>
      </m:oMath>
      <w:r>
        <w:t xml:space="preserve"> </w:t>
      </w:r>
      <w:r>
        <w:t xml:space="preserve">and</w:t>
      </w:r>
      <w:r>
        <w:t xml:space="preserve"> </w:t>
      </w:r>
      <m:oMath>
        <m:sSub>
          <m:e>
            <m:r>
              <m:t>P</m:t>
            </m:r>
          </m:e>
          <m:sub>
            <m:r>
              <m:t>x</m:t>
            </m:r>
          </m:sub>
        </m:sSub>
        <m:r>
          <m:rPr>
            <m:sty m:val="p"/>
          </m:rPr>
          <m:t>(</m:t>
        </m:r>
        <m:r>
          <m:t>z</m:t>
        </m:r>
        <m:r>
          <m:rPr>
            <m:sty m:val="p"/>
          </m:rPr>
          <m:t>)</m:t>
        </m:r>
        <m:r>
          <m:rPr>
            <m:sty m:val="p"/>
          </m:rPr>
          <m:t>=</m:t>
        </m:r>
        <m:sSub>
          <m:e>
            <m:r>
              <m:rPr>
                <m:sty m:val="p"/>
                <m:scr m:val="double-struck"/>
              </m:rPr>
              <m:t>E</m:t>
            </m:r>
          </m:e>
          <m:sub>
            <m:r>
              <m:t>z</m:t>
            </m:r>
          </m:sub>
        </m:sSub>
        <m:r>
          <m:rPr>
            <m:sty m:val="p"/>
            <m:nor m:val="1"/>
          </m:rPr>
          <w:rPr>
            <w:i w:val="0"/>
          </w:rPr>
          <m:t>Tr</m:t>
        </m:r>
        <m:sSubSup>
          <m:e>
            <m:r>
              <m:t>ρ</m:t>
            </m:r>
          </m:e>
          <m:sub>
            <m:r>
              <m:t>x</m:t>
            </m:r>
          </m:sub>
          <m:sup>
            <m:r>
              <m:t>2</m:t>
            </m:r>
          </m:sup>
        </m:sSubSup>
      </m:oMath>
      <w:r>
        <w:t xml:space="preserve">. Then</w:t>
      </w:r>
    </w:p>
    <w:p>
      <w:pPr>
        <w:pStyle w:val="BodyText"/>
      </w:pPr>
      <m:oMathPara>
        <m:oMathParaPr>
          <m:jc m:val="center"/>
        </m:oMathParaPr>
        <m:oMath>
          <m:sSub>
            <m:e>
              <m:r>
                <m:rPr>
                  <m:sty m:val="p"/>
                  <m:scr m:val="double-struck"/>
                </m:rPr>
                <m:t>E</m:t>
              </m:r>
            </m:e>
            <m:sub>
              <m:r>
                <m:t>z</m:t>
              </m:r>
            </m:sub>
          </m:sSub>
          <m:r>
            <m:rPr>
              <m:sty m:val="p"/>
            </m:rPr>
            <m:t>∥</m:t>
          </m:r>
          <m:sSub>
            <m:e>
              <m:r>
                <m:t>ρ</m:t>
              </m:r>
            </m:e>
            <m:sub>
              <m:r>
                <m:t>F</m:t>
              </m:r>
              <m:r>
                <m:rPr>
                  <m:sty m:val="p"/>
                </m:rPr>
                <m:t>,</m:t>
              </m:r>
              <m:r>
                <m:t>x</m:t>
              </m:r>
            </m:sub>
          </m:sSub>
          <m:r>
            <m:rPr>
              <m:sty m:val="p"/>
            </m:rPr>
            <m:t>−</m:t>
          </m:r>
          <m:r>
            <m:t>I</m:t>
          </m:r>
          <m:r>
            <m:rPr>
              <m:sty m:val="p"/>
            </m:rPr>
            <m:t>/</m:t>
          </m:r>
          <m:sSub>
            <m:e>
              <m:r>
                <m:t>d</m:t>
              </m:r>
            </m:e>
            <m:sub>
              <m:r>
                <m:t>F</m:t>
              </m:r>
            </m:sub>
          </m:sSub>
          <m:sSubSup>
            <m:e>
              <m:r>
                <m:rPr>
                  <m:sty m:val="p"/>
                </m:rPr>
                <m:t>∥</m:t>
              </m:r>
            </m:e>
            <m:sub>
              <m:r>
                <m:rPr>
                  <m:sty m:val="p"/>
                </m:rPr>
                <m:t>H</m:t>
              </m:r>
              <m:r>
                <m:rPr>
                  <m:sty m:val="p"/>
                </m:rPr>
                <m:t>S</m:t>
              </m:r>
            </m:sub>
            <m:sup>
              <m:r>
                <m:t>2</m:t>
              </m:r>
            </m:sup>
          </m:sSubSup>
          <m:r>
            <m:rPr>
              <m:sty m:val="p"/>
            </m:rPr>
            <m:t>=</m:t>
          </m:r>
          <m:f>
            <m:fPr>
              <m:type m:val="bar"/>
            </m:fPr>
            <m:num>
              <m:r>
                <m:rPr>
                  <m:sty m:val="p"/>
                </m:rPr>
                <m:t>(</m:t>
              </m:r>
              <m:sSubSup>
                <m:e>
                  <m:r>
                    <m:t>d</m:t>
                  </m:r>
                </m:e>
                <m:sub>
                  <m:r>
                    <m:t>F</m:t>
                  </m:r>
                </m:sub>
                <m:sup>
                  <m:r>
                    <m:t>2</m:t>
                  </m:r>
                </m:sup>
              </m:sSubSup>
              <m:r>
                <m:rPr>
                  <m:sty m:val="p"/>
                </m:rPr>
                <m:t>−</m:t>
              </m:r>
              <m:r>
                <m:t>1</m:t>
              </m:r>
              <m:r>
                <m:rPr>
                  <m:sty m:val="p"/>
                </m:rPr>
                <m:t>)</m:t>
              </m:r>
              <m:r>
                <m:rPr>
                  <m:sty m:val="p"/>
                </m:rPr>
                <m:t>(</m:t>
              </m:r>
              <m:r>
                <m:t>d</m:t>
              </m:r>
              <m:sSub>
                <m:e>
                  <m:r>
                    <m:t>P</m:t>
                  </m:r>
                </m:e>
                <m:sub>
                  <m:r>
                    <m:t>x</m:t>
                  </m:r>
                </m:sub>
              </m:sSub>
              <m:r>
                <m:rPr>
                  <m:sty m:val="p"/>
                </m:rPr>
                <m:t>(</m:t>
              </m:r>
              <m:r>
                <m:t>z</m:t>
              </m:r>
              <m:r>
                <m:rPr>
                  <m:sty m:val="p"/>
                </m:rPr>
                <m:t>)</m:t>
              </m:r>
              <m:r>
                <m:rPr>
                  <m:sty m:val="p"/>
                </m:rPr>
                <m:t>−</m:t>
              </m:r>
              <m:r>
                <m:t>1</m:t>
              </m:r>
              <m:r>
                <m:rPr>
                  <m:sty m:val="p"/>
                </m:rPr>
                <m:t>)</m:t>
              </m:r>
            </m:num>
            <m:den>
              <m:sSub>
                <m:e>
                  <m:r>
                    <m:t>d</m:t>
                  </m:r>
                </m:e>
                <m:sub>
                  <m:r>
                    <m:t>F</m:t>
                  </m:r>
                </m:sub>
              </m:sSub>
              <m:r>
                <m:rPr>
                  <m:sty m:val="p"/>
                </m:rPr>
                <m:t>(</m:t>
              </m:r>
              <m:sSup>
                <m:e>
                  <m:r>
                    <m:t>d</m:t>
                  </m:r>
                </m:e>
                <m:sup>
                  <m:r>
                    <m:t>2</m:t>
                  </m:r>
                </m:sup>
              </m:sSup>
              <m:r>
                <m:rPr>
                  <m:sty m:val="p"/>
                </m:rPr>
                <m:t>−</m:t>
              </m:r>
              <m:r>
                <m:t>1</m:t>
              </m:r>
              <m:r>
                <m:rPr>
                  <m:sty m:val="p"/>
                </m:rPr>
                <m:t>)</m:t>
              </m:r>
            </m:den>
          </m:f>
          <m:r>
            <m:rPr>
              <m:sty m:val="p"/>
            </m:rPr>
            <m:t>,</m:t>
          </m:r>
        </m:oMath>
      </m:oMathPara>
    </w:p>
    <w:p>
      <w:pPr>
        <w:pStyle w:val="FirstParagraph"/>
      </w:pPr>
      <m:oMathPara>
        <m:oMathParaPr>
          <m:jc m:val="center"/>
        </m:oMathParaPr>
        <m:oMath>
          <m:sSub>
            <m:e>
              <m:r>
                <m:t>b</m:t>
              </m:r>
            </m:e>
            <m:sub>
              <m:r>
                <m:t>x</m:t>
              </m:r>
            </m:sub>
          </m:sSub>
          <m:r>
            <m:rPr>
              <m:sty m:val="p"/>
            </m:rPr>
            <m:t>(</m:t>
          </m:r>
          <m:r>
            <m:t>z</m:t>
          </m:r>
          <m:r>
            <m:rPr>
              <m:sty m:val="p"/>
            </m:rPr>
            <m:t>)</m:t>
          </m:r>
          <m:r>
            <m:rPr>
              <m:sty m:val="p"/>
            </m:rPr>
            <m:t>=</m:t>
          </m:r>
          <m:rad>
            <m:radPr>
              <m:degHide m:val="on"/>
            </m:radPr>
            <m:deg/>
            <m:e>
              <m:f>
                <m:fPr>
                  <m:type m:val="bar"/>
                </m:fPr>
                <m:num>
                  <m:r>
                    <m:rPr>
                      <m:sty m:val="p"/>
                    </m:rPr>
                    <m:t>(</m:t>
                  </m:r>
                  <m:sSubSup>
                    <m:e>
                      <m:r>
                        <m:t>d</m:t>
                      </m:r>
                    </m:e>
                    <m:sub>
                      <m:r>
                        <m:t>F</m:t>
                      </m:r>
                    </m:sub>
                    <m:sup>
                      <m:r>
                        <m:t>2</m:t>
                      </m:r>
                    </m:sup>
                  </m:sSubSup>
                  <m:r>
                    <m:rPr>
                      <m:sty m:val="p"/>
                    </m:rPr>
                    <m:t>−</m:t>
                  </m:r>
                  <m:r>
                    <m:t>1</m:t>
                  </m:r>
                  <m:r>
                    <m:rPr>
                      <m:sty m:val="p"/>
                    </m:rPr>
                    <m:t>)</m:t>
                  </m:r>
                  <m:r>
                    <m:rPr>
                      <m:sty m:val="p"/>
                    </m:rPr>
                    <m:t>(</m:t>
                  </m:r>
                  <m:r>
                    <m:t>d</m:t>
                  </m:r>
                  <m:sSub>
                    <m:e>
                      <m:r>
                        <m:t>P</m:t>
                      </m:r>
                    </m:e>
                    <m:sub>
                      <m:r>
                        <m:t>x</m:t>
                      </m:r>
                    </m:sub>
                  </m:sSub>
                  <m:r>
                    <m:rPr>
                      <m:sty m:val="p"/>
                    </m:rPr>
                    <m:t>(</m:t>
                  </m:r>
                  <m:r>
                    <m:t>z</m:t>
                  </m:r>
                  <m:r>
                    <m:rPr>
                      <m:sty m:val="p"/>
                    </m:rPr>
                    <m:t>)</m:t>
                  </m:r>
                  <m:r>
                    <m:rPr>
                      <m:sty m:val="p"/>
                    </m:rPr>
                    <m:t>−</m:t>
                  </m:r>
                  <m:r>
                    <m:t>1</m:t>
                  </m:r>
                  <m:r>
                    <m:rPr>
                      <m:sty m:val="p"/>
                    </m:rPr>
                    <m:t>)</m:t>
                  </m:r>
                </m:num>
                <m:den>
                  <m:sSup>
                    <m:e>
                      <m:r>
                        <m:t>d</m:t>
                      </m:r>
                    </m:e>
                    <m:sup>
                      <m:r>
                        <m:t>2</m:t>
                      </m:r>
                    </m:sup>
                  </m:sSup>
                  <m:r>
                    <m:rPr>
                      <m:sty m:val="p"/>
                    </m:rPr>
                    <m:t>−</m:t>
                  </m:r>
                  <m:r>
                    <m:t>1</m:t>
                  </m:r>
                </m:den>
              </m:f>
            </m:e>
          </m:rad>
          <m:r>
            <m:rPr>
              <m:sty m:val="p"/>
            </m:rPr>
            <m:t>,</m:t>
          </m:r>
          <m:r>
            <m:t>  </m:t>
          </m:r>
          <m:sSub>
            <m:e>
              <m:r>
                <m:rPr>
                  <m:sty m:val="p"/>
                  <m:scr m:val="double-struck"/>
                </m:rPr>
                <m:t>E</m:t>
              </m:r>
            </m:e>
            <m:sub>
              <m:r>
                <m:t>z</m:t>
              </m:r>
            </m:sub>
          </m:sSub>
          <m:r>
            <m:rPr>
              <m:sty m:val="p"/>
            </m:rPr>
            <m:t>[</m:t>
          </m:r>
          <m:r>
            <m:t>1</m:t>
          </m:r>
          <m:r>
            <m:rPr>
              <m:sty m:val="p"/>
            </m:rPr>
            <m:t>/</m:t>
          </m:r>
          <m:r>
            <m:t>2</m:t>
          </m:r>
          <m:r>
            <m:rPr>
              <m:sty m:val="p"/>
            </m:rPr>
            <m:t>−</m:t>
          </m:r>
          <m:sSub>
            <m:e>
              <m:r>
                <m:t>p</m:t>
              </m:r>
            </m:e>
            <m:sub>
              <m:r>
                <m:rPr>
                  <m:sty m:val="p"/>
                </m:rPr>
                <m:t>e</m:t>
              </m:r>
              <m:r>
                <m:rPr>
                  <m:sty m:val="p"/>
                </m:rPr>
                <m:t>r</m:t>
              </m:r>
              <m:r>
                <m:rPr>
                  <m:sty m:val="p"/>
                </m:rPr>
                <m:t>r</m:t>
              </m:r>
            </m:sub>
          </m:sSub>
          <m:r>
            <m:rPr>
              <m:sty m:val="p"/>
            </m:rPr>
            <m:t>]</m:t>
          </m:r>
          <m:r>
            <m:rPr>
              <m:sty m:val="p"/>
            </m:rPr>
            <m:t>≤</m:t>
          </m:r>
          <m:f>
            <m:fPr>
              <m:type m:val="bar"/>
            </m:fPr>
            <m:num>
              <m:sSub>
                <m:e>
                  <m:r>
                    <m:t>b</m:t>
                  </m:r>
                </m:e>
                <m:sub>
                  <m:r>
                    <m:t>0</m:t>
                  </m:r>
                </m:sub>
              </m:sSub>
              <m:r>
                <m:rPr>
                  <m:sty m:val="p"/>
                </m:rPr>
                <m:t>(</m:t>
              </m:r>
              <m:r>
                <m:t>z</m:t>
              </m:r>
              <m:r>
                <m:rPr>
                  <m:sty m:val="p"/>
                </m:rPr>
                <m:t>)</m:t>
              </m:r>
              <m:r>
                <m:rPr>
                  <m:sty m:val="p"/>
                </m:rPr>
                <m:t>+</m:t>
              </m:r>
              <m:sSub>
                <m:e>
                  <m:r>
                    <m:t>b</m:t>
                  </m:r>
                </m:e>
                <m:sub>
                  <m:r>
                    <m:t>1</m:t>
                  </m:r>
                </m:sub>
              </m:sSub>
              <m:r>
                <m:rPr>
                  <m:sty m:val="p"/>
                </m:rPr>
                <m:t>(</m:t>
              </m:r>
              <m:r>
                <m:t>z</m:t>
              </m:r>
              <m:r>
                <m:rPr>
                  <m:sty m:val="p"/>
                </m:rPr>
                <m:t>)</m:t>
              </m:r>
            </m:num>
            <m:den>
              <m:r>
                <m:t>4</m:t>
              </m:r>
            </m:den>
          </m:f>
          <m:r>
            <m:rPr>
              <m:sty m:val="p"/>
            </m:rPr>
            <m:t>.</m:t>
          </m:r>
        </m:oMath>
      </m:oMathPara>
    </w:p>
    <w:p>
      <w:pPr>
        <w:pStyle w:val="FirstParagraph"/>
      </w:pPr>
      <w:r>
        <w:t xml:space="preserve">For equal priors and</w:t>
      </w:r>
      <w:r>
        <w:t xml:space="preserve"> </w:t>
      </w:r>
      <m:oMath>
        <m:r>
          <m:t>ε</m:t>
        </m:r>
        <m:r>
          <m:rPr>
            <m:sty m:val="p"/>
          </m:rPr>
          <m:t>&lt;</m:t>
        </m:r>
        <m:r>
          <m:t>1</m:t>
        </m:r>
        <m:r>
          <m:rPr>
            <m:sty m:val="p"/>
          </m:rPr>
          <m:t>/</m:t>
        </m:r>
        <m:r>
          <m:t>2</m:t>
        </m:r>
      </m:oMath>
      <w:r>
        <w:t xml:space="preserve">,</w:t>
      </w:r>
    </w:p>
    <w:p>
      <w:pPr>
        <w:pStyle w:val="BodyText"/>
      </w:pPr>
      <m:oMathPara>
        <m:oMathParaPr>
          <m:jc m:val="center"/>
        </m:oMathParaPr>
        <m:oMath>
          <m:r>
            <m:rPr>
              <m:sty m:val="p"/>
              <m:nor m:val="1"/>
            </m:rPr>
            <w:rPr>
              <w:i w:val="0"/>
            </w:rPr>
            <m:t>Pr</m:t>
          </m:r>
          <m:r>
            <m:rPr>
              <m:sty m:val="p"/>
            </m:rPr>
            <m:t>(</m:t>
          </m:r>
          <m:sSub>
            <m:e>
              <m:r>
                <m:t>p</m:t>
              </m:r>
            </m:e>
            <m:sub>
              <m:r>
                <m:rPr>
                  <m:sty m:val="p"/>
                </m:rPr>
                <m:t>e</m:t>
              </m:r>
              <m:r>
                <m:rPr>
                  <m:sty m:val="p"/>
                </m:rPr>
                <m:t>r</m:t>
              </m:r>
              <m:r>
                <m:rPr>
                  <m:sty m:val="p"/>
                </m:rPr>
                <m:t>r</m:t>
              </m:r>
            </m:sub>
          </m:sSub>
          <m:r>
            <m:rPr>
              <m:sty m:val="p"/>
            </m:rPr>
            <m:t>≤</m:t>
          </m:r>
          <m:r>
            <m:t>ε</m:t>
          </m:r>
          <m:r>
            <m:rPr>
              <m:sty m:val="p"/>
            </m:rPr>
            <m:t>∣</m:t>
          </m:r>
          <m:r>
            <m:t>Z</m:t>
          </m:r>
          <m:r>
            <m:rPr>
              <m:sty m:val="p"/>
            </m:rPr>
            <m:t>=</m:t>
          </m:r>
          <m:r>
            <m:t>z</m:t>
          </m:r>
          <m:r>
            <m:rPr>
              <m:sty m:val="p"/>
            </m:rPr>
            <m:t>)</m:t>
          </m:r>
          <m:r>
            <m:rPr>
              <m:sty m:val="p"/>
            </m:rPr>
            <m:t>≤</m:t>
          </m:r>
          <m:r>
            <m:rPr>
              <m:sty m:val="p"/>
              <m:nor m:val="1"/>
            </m:rPr>
            <w:rPr>
              <w:i w:val="0"/>
            </w:rPr>
            <m:t>min</m:t>
          </m:r>
          <m:r>
            <m:rPr>
              <m:sty m:val="p"/>
            </m:rPr>
            <m:t>{</m:t>
          </m:r>
          <m:r>
            <m:t>1</m:t>
          </m:r>
          <m:r>
            <m:rPr>
              <m:sty m:val="p"/>
            </m:rPr>
            <m:t>,</m:t>
          </m:r>
          <m:f>
            <m:fPr>
              <m:type m:val="bar"/>
            </m:fPr>
            <m:num>
              <m:sSub>
                <m:e>
                  <m:r>
                    <m:t>b</m:t>
                  </m:r>
                </m:e>
                <m:sub>
                  <m:r>
                    <m:t>0</m:t>
                  </m:r>
                </m:sub>
              </m:sSub>
              <m:r>
                <m:rPr>
                  <m:sty m:val="p"/>
                </m:rPr>
                <m:t>(</m:t>
              </m:r>
              <m:r>
                <m:t>z</m:t>
              </m:r>
              <m:r>
                <m:rPr>
                  <m:sty m:val="p"/>
                </m:rPr>
                <m:t>)</m:t>
              </m:r>
              <m:r>
                <m:rPr>
                  <m:sty m:val="p"/>
                </m:rPr>
                <m:t>+</m:t>
              </m:r>
              <m:sSub>
                <m:e>
                  <m:r>
                    <m:t>b</m:t>
                  </m:r>
                </m:e>
                <m:sub>
                  <m:r>
                    <m:t>1</m:t>
                  </m:r>
                </m:sub>
              </m:sSub>
              <m:r>
                <m:rPr>
                  <m:sty m:val="p"/>
                </m:rPr>
                <m:t>(</m:t>
              </m:r>
              <m:r>
                <m:t>z</m:t>
              </m:r>
              <m:r>
                <m:rPr>
                  <m:sty m:val="p"/>
                </m:rPr>
                <m:t>)</m:t>
              </m:r>
            </m:num>
            <m:den>
              <m:r>
                <m:t>2</m:t>
              </m:r>
              <m:r>
                <m:rPr>
                  <m:sty m:val="p"/>
                </m:rPr>
                <m:t>(</m:t>
              </m:r>
              <m:r>
                <m:t>1</m:t>
              </m:r>
              <m:r>
                <m:rPr>
                  <m:sty m:val="p"/>
                </m:rPr>
                <m:t>−</m:t>
              </m:r>
              <m:r>
                <m:t>2</m:t>
              </m:r>
              <m:r>
                <m:t>ε</m:t>
              </m:r>
              <m:r>
                <m:rPr>
                  <m:sty m:val="p"/>
                </m:rPr>
                <m:t>)</m:t>
              </m:r>
            </m:den>
          </m:f>
          <m:r>
            <m:rPr>
              <m:sty m:val="p"/>
            </m:rPr>
            <m:t>}</m:t>
          </m:r>
          <m:r>
            <m:rPr>
              <m:sty m:val="p"/>
            </m:rPr>
            <m:t>.</m:t>
          </m:r>
        </m:oMath>
      </m:oMathPara>
    </w:p>
    <w:p>
      <w:pPr>
        <w:pStyle w:val="FirstParagraph"/>
      </w:pPr>
      <w:r>
        <w:rPr>
          <w:b/>
          <w:bCs/>
        </w:rPr>
        <w:t xml:space="preserve">Proof.</w:t>
      </w:r>
      <w:r>
        <w:t xml:space="preserve"> </w:t>
      </w:r>
      <w:r>
        <w:t xml:space="preserve">Conditional twirling gives</w:t>
      </w:r>
      <w:r>
        <w:t xml:space="preserve"> </w:t>
      </w:r>
      <m:oMath>
        <m:sSub>
          <m:e>
            <m:r>
              <m:rPr>
                <m:sty m:val="p"/>
                <m:scr m:val="double-struck"/>
              </m:rPr>
              <m:t>E</m:t>
            </m:r>
          </m:e>
          <m:sub>
            <m:r>
              <m:t>z</m:t>
            </m:r>
          </m:sub>
        </m:sSub>
        <m:r>
          <m:rPr>
            <m:sty m:val="p"/>
          </m:rPr>
          <m:t>[</m:t>
        </m:r>
        <m:sSub>
          <m:e>
            <m:r>
              <m:t>ρ</m:t>
            </m:r>
          </m:e>
          <m:sub>
            <m:r>
              <m:t>x</m:t>
            </m:r>
          </m:sub>
        </m:sSub>
        <m:r>
          <m:rPr>
            <m:sty m:val="p"/>
          </m:rPr>
          <m:t>⊗</m:t>
        </m:r>
        <m:sSub>
          <m:e>
            <m:r>
              <m:t>ρ</m:t>
            </m:r>
          </m:e>
          <m:sub>
            <m:r>
              <m:t>x</m:t>
            </m:r>
          </m:sub>
        </m:sSub>
        <m:r>
          <m:rPr>
            <m:sty m:val="p"/>
          </m:rPr>
          <m:t>]</m:t>
        </m:r>
        <m:r>
          <m:rPr>
            <m:sty m:val="p"/>
          </m:rPr>
          <m:t>=</m:t>
        </m:r>
        <m:sSub>
          <m:e>
            <m:r>
              <m:t>α</m:t>
            </m:r>
          </m:e>
          <m:sub>
            <m:r>
              <m:t>z</m:t>
            </m:r>
          </m:sub>
        </m:sSub>
        <m:r>
          <m:t>I</m:t>
        </m:r>
        <m:r>
          <m:rPr>
            <m:sty m:val="p"/>
          </m:rPr>
          <m:t>+</m:t>
        </m:r>
        <m:sSub>
          <m:e>
            <m:r>
              <m:t>β</m:t>
            </m:r>
          </m:e>
          <m:sub>
            <m:r>
              <m:t>z</m:t>
            </m:r>
          </m:sub>
        </m:sSub>
        <m:r>
          <m:rPr>
            <m:sty m:val="p"/>
            <m:scr m:val="double-struck"/>
          </m:rPr>
          <m:t>F</m:t>
        </m:r>
      </m:oMath>
      <w:r>
        <w:t xml:space="preserve">, where</w:t>
      </w:r>
      <w:r>
        <w:t xml:space="preserve"> </w:t>
      </w:r>
      <m:oMath>
        <m:sSub>
          <m:e>
            <m:r>
              <m:t>α</m:t>
            </m:r>
          </m:e>
          <m:sub>
            <m:r>
              <m:t>z</m:t>
            </m:r>
          </m:sub>
        </m:sSub>
        <m:r>
          <m:rPr>
            <m:sty m:val="p"/>
          </m:rPr>
          <m:t>=</m:t>
        </m:r>
        <m:r>
          <m:rPr>
            <m:sty m:val="p"/>
          </m:rPr>
          <m:t>(</m:t>
        </m:r>
        <m:r>
          <m:t>d</m:t>
        </m:r>
        <m:r>
          <m:rPr>
            <m:sty m:val="p"/>
          </m:rPr>
          <m:t>−</m:t>
        </m:r>
        <m:sSub>
          <m:e>
            <m:r>
              <m:t>P</m:t>
            </m:r>
          </m:e>
          <m:sub>
            <m:r>
              <m:t>x</m:t>
            </m:r>
          </m:sub>
        </m:sSub>
        <m:r>
          <m:rPr>
            <m:sty m:val="p"/>
          </m:rPr>
          <m:t>(</m:t>
        </m:r>
        <m:r>
          <m:t>z</m:t>
        </m:r>
        <m:r>
          <m:rPr>
            <m:sty m:val="p"/>
          </m:rPr>
          <m:t>)</m:t>
        </m:r>
        <m:r>
          <m:rPr>
            <m:sty m:val="p"/>
          </m:rPr>
          <m:t>)</m:t>
        </m:r>
        <m:r>
          <m:rPr>
            <m:sty m:val="p"/>
          </m:rPr>
          <m:t>/</m:t>
        </m:r>
        <m:r>
          <m:rPr>
            <m:sty m:val="p"/>
          </m:rPr>
          <m:t>[</m:t>
        </m:r>
        <m:r>
          <m:t>d</m:t>
        </m:r>
        <m:r>
          <m:rPr>
            <m:sty m:val="p"/>
          </m:rPr>
          <m:t>(</m:t>
        </m:r>
        <m:sSup>
          <m:e>
            <m:r>
              <m:t>d</m:t>
            </m:r>
          </m:e>
          <m:sup>
            <m:r>
              <m:t>2</m:t>
            </m:r>
          </m:sup>
        </m:sSup>
        <m:r>
          <m:rPr>
            <m:sty m:val="p"/>
          </m:rPr>
          <m:t>−</m:t>
        </m:r>
        <m:r>
          <m:t>1</m:t>
        </m:r>
        <m:r>
          <m:rPr>
            <m:sty m:val="p"/>
          </m:rPr>
          <m:t>)</m:t>
        </m:r>
        <m:r>
          <m:rPr>
            <m:sty m:val="p"/>
          </m:rPr>
          <m:t>]</m:t>
        </m:r>
      </m:oMath>
      <w:r>
        <w:t xml:space="preserve"> </w:t>
      </w:r>
      <w:r>
        <w:t xml:space="preserve">and</w:t>
      </w:r>
      <w:r>
        <w:t xml:space="preserve"> </w:t>
      </w:r>
      <m:oMath>
        <m:sSub>
          <m:e>
            <m:r>
              <m:t>β</m:t>
            </m:r>
          </m:e>
          <m:sub>
            <m:r>
              <m:t>z</m:t>
            </m:r>
          </m:sub>
        </m:sSub>
        <m:r>
          <m:rPr>
            <m:sty m:val="p"/>
          </m:rPr>
          <m:t>=</m:t>
        </m:r>
        <m:r>
          <m:rPr>
            <m:sty m:val="p"/>
          </m:rPr>
          <m:t>(</m:t>
        </m:r>
        <m:r>
          <m:t>d</m:t>
        </m:r>
        <m:sSub>
          <m:e>
            <m:r>
              <m:t>P</m:t>
            </m:r>
          </m:e>
          <m:sub>
            <m:r>
              <m:t>x</m:t>
            </m:r>
          </m:sub>
        </m:sSub>
        <m:r>
          <m:rPr>
            <m:sty m:val="p"/>
          </m:rPr>
          <m:t>(</m:t>
        </m:r>
        <m:r>
          <m:t>z</m:t>
        </m:r>
        <m:r>
          <m:rPr>
            <m:sty m:val="p"/>
          </m:rPr>
          <m:t>)</m:t>
        </m:r>
        <m:r>
          <m:rPr>
            <m:sty m:val="p"/>
          </m:rPr>
          <m:t>−</m:t>
        </m:r>
        <m:r>
          <m:t>1</m:t>
        </m:r>
        <m:r>
          <m:rPr>
            <m:sty m:val="p"/>
          </m:rPr>
          <m:t>)</m:t>
        </m:r>
        <m:r>
          <m:rPr>
            <m:sty m:val="p"/>
          </m:rPr>
          <m:t>/</m:t>
        </m:r>
        <m:r>
          <m:rPr>
            <m:sty m:val="p"/>
          </m:rPr>
          <m:t>[</m:t>
        </m:r>
        <m:r>
          <m:t>d</m:t>
        </m:r>
        <m:r>
          <m:rPr>
            <m:sty m:val="p"/>
          </m:rPr>
          <m:t>(</m:t>
        </m:r>
        <m:sSup>
          <m:e>
            <m:r>
              <m:t>d</m:t>
            </m:r>
          </m:e>
          <m:sup>
            <m:r>
              <m:t>2</m:t>
            </m:r>
          </m:sup>
        </m:sSup>
        <m:r>
          <m:rPr>
            <m:sty m:val="p"/>
          </m:rPr>
          <m:t>−</m:t>
        </m:r>
        <m:r>
          <m:t>1</m:t>
        </m:r>
        <m:r>
          <m:rPr>
            <m:sty m:val="p"/>
          </m:rPr>
          <m:t>)</m:t>
        </m:r>
        <m:r>
          <m:rPr>
            <m:sty m:val="p"/>
          </m:rPr>
          <m:t>]</m:t>
        </m:r>
      </m:oMath>
      <w:r>
        <w:t xml:space="preserve">. Contract with the fragment swap, subtract</w:t>
      </w:r>
      <w:r>
        <w:t xml:space="preserve"> </w:t>
      </w:r>
      <m:oMath>
        <m:r>
          <m:t>1</m:t>
        </m:r>
        <m:r>
          <m:rPr>
            <m:sty m:val="p"/>
          </m:rPr>
          <m:t>/</m:t>
        </m:r>
        <m:sSub>
          <m:e>
            <m:r>
              <m:t>d</m:t>
            </m:r>
          </m:e>
          <m:sub>
            <m:r>
              <m:t>F</m:t>
            </m:r>
          </m:sub>
        </m:sSub>
      </m:oMath>
      <w:r>
        <w:t xml:space="preserve">, and use the Schatten-norm comparison and Jensen. The triangle and Markov steps are those of Proposition 3; they do not require branch independence. An unconditional result follows by averaging the conditional bounds. Replacing</w:t>
      </w:r>
      <w:r>
        <w:t xml:space="preserve"> </w:t>
      </w:r>
      <m:oMath>
        <m:sSub>
          <m:e>
            <m:r>
              <m:t>P</m:t>
            </m:r>
          </m:e>
          <m:sub>
            <m:r>
              <m:t>x</m:t>
            </m:r>
          </m:sub>
        </m:sSub>
        <m:r>
          <m:rPr>
            <m:sty m:val="p"/>
          </m:rPr>
          <m:t>(</m:t>
        </m:r>
        <m:r>
          <m:t>z</m:t>
        </m:r>
        <m:r>
          <m:rPr>
            <m:sty m:val="p"/>
          </m:rPr>
          <m:t>)</m:t>
        </m:r>
      </m:oMath>
      <w:r>
        <w:t xml:space="preserve"> </w:t>
      </w:r>
      <w:r>
        <w:t xml:space="preserve">by an unconditional purity after selecting a frame need not be valid.</w:t>
      </w:r>
      <w:r>
        <w:t xml:space="preserve"> </w:t>
      </w:r>
      <m:oMath>
        <m:r>
          <m:rPr>
            <m:sty m:val="p"/>
          </m:rPr>
          <m:t>▫</m:t>
        </m:r>
      </m:oMath>
    </w:p>
    <w:p>
      <w:pPr>
        <w:pStyle w:val="BodyText"/>
      </w:pPr>
      <w:r>
        <w:t xml:space="preserve">The pure-state case is</w:t>
      </w:r>
      <w:r>
        <w:t xml:space="preserve"> </w:t>
      </w:r>
      <m:oMath>
        <m:sSub>
          <m:e>
            <m:r>
              <m:t>P</m:t>
            </m:r>
          </m:e>
          <m:sub>
            <m:r>
              <m:t>x</m:t>
            </m:r>
          </m:sub>
        </m:sSub>
        <m:r>
          <m:rPr>
            <m:sty m:val="p"/>
          </m:rPr>
          <m:t>=</m:t>
        </m:r>
        <m:r>
          <m:t>1</m:t>
        </m:r>
      </m:oMath>
      <w:r>
        <w:t xml:space="preserve"> </w:t>
      </w:r>
      <w:r>
        <w:t xml:space="preserve">and reduces to Proposition 3; the maximally mixed case</w:t>
      </w:r>
      <w:r>
        <w:t xml:space="preserve"> </w:t>
      </w:r>
      <m:oMath>
        <m:sSub>
          <m:e>
            <m:r>
              <m:t>P</m:t>
            </m:r>
          </m:e>
          <m:sub>
            <m:r>
              <m:t>x</m:t>
            </m:r>
          </m:sub>
        </m:sSub>
        <m:r>
          <m:rPr>
            <m:sty m:val="p"/>
          </m:rPr>
          <m:t>=</m:t>
        </m:r>
        <m:r>
          <m:t>1</m:t>
        </m:r>
        <m:r>
          <m:rPr>
            <m:sty m:val="p"/>
          </m:rPr>
          <m:t>/</m:t>
        </m:r>
        <m:r>
          <m:t>d</m:t>
        </m:r>
      </m:oMath>
      <w:r>
        <w:t xml:space="preserve"> </w:t>
      </w:r>
      <w:r>
        <w:t xml:space="preserve">gives zero advantage. A four-dimensional calibration with spectrum</w:t>
      </w:r>
      <w:r>
        <w:t xml:space="preserve"> </w:t>
      </w:r>
      <m:oMath>
        <m:r>
          <m:rPr>
            <m:sty m:val="p"/>
          </m:rPr>
          <m:t>(</m:t>
        </m:r>
        <m:r>
          <m:t>0.55</m:t>
        </m:r>
        <m:r>
          <m:rPr>
            <m:sty m:val="p"/>
          </m:rPr>
          <m:t>,</m:t>
        </m:r>
        <m:r>
          <m:t>0.25</m:t>
        </m:r>
        <m:r>
          <m:rPr>
            <m:sty m:val="p"/>
          </m:rPr>
          <m:t>,</m:t>
        </m:r>
        <m:r>
          <m:t>0.15</m:t>
        </m:r>
        <m:r>
          <m:rPr>
            <m:sty m:val="p"/>
          </m:rPr>
          <m:t>,</m:t>
        </m:r>
        <m:r>
          <m:t>0.05</m:t>
        </m:r>
        <m:r>
          <m:rPr>
            <m:sty m:val="p"/>
          </m:rPr>
          <m:t>)</m:t>
        </m:r>
      </m:oMath>
      <w:r>
        <w:t xml:space="preserve"> </w:t>
      </w:r>
      <w:r>
        <w:t xml:space="preserve">has global purity</w:t>
      </w:r>
      <w:r>
        <w:t xml:space="preserve"> </w:t>
      </w:r>
      <m:oMath>
        <m:r>
          <m:t>0.39</m:t>
        </m:r>
      </m:oMath>
      <w:r>
        <w:t xml:space="preserve">, exact mean centered fragment Hilbert-Schmidt norm squared</w:t>
      </w:r>
      <w:r>
        <w:t xml:space="preserve"> </w:t>
      </w:r>
      <m:oMath>
        <m:r>
          <m:t>0.056</m:t>
        </m:r>
      </m:oMath>
      <w:r>
        <w:t xml:space="preserve">, and trace-norm bound</w:t>
      </w:r>
      <w:r>
        <w:t xml:space="preserve"> </w:t>
      </w:r>
      <m:oMath>
        <m:r>
          <m:t>0.3346640106</m:t>
        </m:r>
      </m:oMath>
      <w:r>
        <w:t xml:space="preserve">. The historical sample of 2,000 random eigenbases gave</w:t>
      </w:r>
      <w:r>
        <w:t xml:space="preserve"> </w:t>
      </w:r>
      <m:oMath>
        <m:r>
          <m:t>0.0557464152</m:t>
        </m:r>
      </m:oMath>
      <w:r>
        <w:t xml:space="preserve"> </w:t>
      </w:r>
      <w:r>
        <w:t xml:space="preserve">for that squared norm, with Monte Carlo standard error</w:t>
      </w:r>
      <w:r>
        <w:t xml:space="preserve"> </w:t>
      </w:r>
      <m:oMath>
        <m:r>
          <m:t>0.0007264476</m:t>
        </m:r>
      </m:oMath>
      <w:r>
        <w:t xml:space="preserve">. Separately, the 1,200-draw calibration gave</w:t>
      </w:r>
      <w:r>
        <w:t xml:space="preserve"> </w:t>
      </w:r>
      <m:oMath>
        <m:r>
          <m:t>0.05550839355</m:t>
        </m:r>
      </m:oMath>
      <w:r>
        <w:t xml:space="preserve">, with standard error</w:t>
      </w:r>
      <w:r>
        <w:t xml:space="preserve"> </w:t>
      </w:r>
      <m:oMath>
        <m:r>
          <m:t>0.00093479233</m:t>
        </m:r>
      </m:oMath>
      <w:r>
        <w:t xml:space="preserve">. Both target the same exact value</w:t>
      </w:r>
      <w:r>
        <w:t xml:space="preserve"> </w:t>
      </w:r>
      <m:oMath>
        <m:r>
          <m:t>0.056</m:t>
        </m:r>
      </m:oMath>
      <w:r>
        <w:t xml:space="preserve">; the samples and provenance are not interchangeable. This is a check of an explicit finite twirl formula, not a new empirical law or a claim of historical priority.</w:t>
      </w:r>
    </w:p>
    <w:p>
      <w:pPr>
        <w:pStyle w:val="BodyText"/>
        <w:keepNext/>
        <w:jc w:val="center"/>
      </w:pPr>
      <w:r>
        <w:drawing>
          <wp:inline>
            <wp:extent cx="5334000" cy="2791319"/>
            <wp:effectExtent b="0" l="0" r="0" t="0"/>
            <wp:docPr descr="Pure-state Haar trace-norm means and their analytic bounds for one-qubit fragments." title="" id="104" name="Picture"/>
            <a:graphic>
              <a:graphicData uri="http://schemas.openxmlformats.org/drawingml/2006/picture">
                <pic:pic>
                  <pic:nvPicPr>
                    <pic:cNvPr descr="../figures/haar_typicality.png" id="105" name="Picture"/>
                    <pic:cNvPicPr>
                      <a:picLocks noChangeArrowheads="1" noChangeAspect="1"/>
                    </pic:cNvPicPr>
                  </pic:nvPicPr>
                  <pic:blipFill>
                    <a:blip r:embed="rId103"/>
                    <a:stretch>
                      <a:fillRect/>
                    </a:stretch>
                  </pic:blipFill>
                  <pic:spPr bwMode="auto">
                    <a:xfrm>
                      <a:off x="0" y="0"/>
                      <a:ext cx="5334000" cy="2791319"/>
                    </a:xfrm>
                    <a:prstGeom prst="rect">
                      <a:avLst/>
                    </a:prstGeom>
                    <a:noFill/>
                    <a:ln w="9525">
                      <a:noFill/>
                      <a:headEnd/>
                      <a:tailEnd/>
                    </a:ln>
                  </pic:spPr>
                </pic:pic>
              </a:graphicData>
            </a:graphic>
          </wp:inline>
        </w:drawing>
      </w:r>
    </w:p>
    <w:p>
      <w:pPr>
        <w:pStyle w:val="Caption"/>
        <w:spacing w:after="180"/>
      </w:pPr>
      <w:r>
        <w:rPr>
          <w:b/>
          <w:bCs/>
        </w:rPr>
        <w:t xml:space="preserve">Figure 3. Fixed-fragment typicality calibration. The conditional measure and fragment size are supplied. The bound is not a probability distribution for the universe.</w:t>
      </w:r>
    </w:p>
    <w:bookmarkEnd w:id="106"/>
    <w:bookmarkStart w:id="114" w:name="X5039d5b2c479ecfa94d6ac39d43e3f89c8bb2b0"/>
    <w:p>
      <w:pPr>
        <w:pStyle w:val="Heading1"/>
        <w:keepNext/>
      </w:pPr>
      <w:r>
        <w:t xml:space="preserve">Appendix D. Persistent accessibility and a continuum certificate</w:t>
      </w:r>
    </w:p>
    <w:p>
      <w:pPr>
        <w:pStyle w:val="FirstParagraph"/>
      </w:pPr>
      <w:r>
        <w:t xml:space="preserve">Pointwise optimal decoding allows a different measurement at each known time. That is weaker than requiring one fixed decoder when the readout time is unknown. Consider orthogonal Pauli-X eigenstates as source-conditioned states evolving under</w:t>
      </w:r>
      <w:r>
        <w:t xml:space="preserve"> </w:t>
      </w:r>
      <m:oMath>
        <m:r>
          <m:t>H</m:t>
        </m:r>
        <m:r>
          <m:rPr>
            <m:sty m:val="p"/>
          </m:rPr>
          <m:t>=</m:t>
        </m:r>
        <m:r>
          <m:t>Z</m:t>
        </m:r>
      </m:oMath>
      <w:r>
        <w:t xml:space="preserve">. They remain perfectly distinguishable at each known time. At times</w:t>
      </w:r>
      <w:r>
        <w:t xml:space="preserve"> </w:t>
      </w:r>
      <m:oMath>
        <m:r>
          <m:t>0</m:t>
        </m:r>
      </m:oMath>
      <w:r>
        <w:t xml:space="preserve"> </w:t>
      </w:r>
      <w:r>
        <w:t xml:space="preserve">and</w:t>
      </w:r>
      <w:r>
        <w:t xml:space="preserve"> </w:t>
      </w:r>
      <m:oMath>
        <m:r>
          <m:t>π</m:t>
        </m:r>
        <m:r>
          <m:rPr>
            <m:sty m:val="p"/>
          </m:rPr>
          <m:t>/</m:t>
        </m:r>
        <m:r>
          <m:t>2</m:t>
        </m:r>
      </m:oMath>
      <w:r>
        <w:t xml:space="preserve"> </w:t>
      </w:r>
      <w:r>
        <w:t xml:space="preserve">their labels swap. Averaging over those two unknown times makes both conditional states</w:t>
      </w:r>
      <w:r>
        <w:t xml:space="preserve"> </w:t>
      </w:r>
      <m:oMath>
        <m:r>
          <m:t>I</m:t>
        </m:r>
        <m:r>
          <m:rPr>
            <m:sty m:val="p"/>
          </m:rPr>
          <m:t>/</m:t>
        </m:r>
        <m:r>
          <m:t>2</m:t>
        </m:r>
      </m:oMath>
      <w:r>
        <w:t xml:space="preserve">, so every fixed time-blind decoder has error</w:t>
      </w:r>
      <w:r>
        <w:t xml:space="preserve"> </w:t>
      </w:r>
      <m:oMath>
        <m:r>
          <m:t>1</m:t>
        </m:r>
        <m:r>
          <m:rPr>
            <m:sty m:val="p"/>
          </m:rPr>
          <m:t>/</m:t>
        </m:r>
        <m:r>
          <m:t>2</m:t>
        </m:r>
      </m:oMath>
      <w:r>
        <w:t xml:space="preserve">. A persistence definition must therefore declare whether time, a reference clock and decoder changes are available.</w:t>
      </w:r>
    </w:p>
    <w:p>
      <w:pPr>
        <w:pStyle w:val="BodyText"/>
      </w:pPr>
      <w:r>
        <w:rPr>
          <w:b/>
          <w:bCs/>
        </w:rPr>
        <w:t xml:space="preserve">Proposition 5: grid-to-window certificate.</w:t>
      </w:r>
      <w:r>
        <w:t xml:space="preserve"> </w:t>
      </w:r>
      <w:r>
        <w:t xml:space="preserve">For autonomous finite-dimensional conditional generators</w:t>
      </w:r>
      <w:r>
        <w:t xml:space="preserve"> </w:t>
      </w:r>
      <m:oMath>
        <m:sSub>
          <m:e>
            <m:r>
              <m:t>H</m:t>
            </m:r>
          </m:e>
          <m:sub>
            <m:r>
              <m:t>x</m:t>
            </m:r>
          </m:sub>
        </m:sSub>
      </m:oMath>
      <w:r>
        <w:t xml:space="preserve">, define the shift-invariant spectral radius</w:t>
      </w:r>
      <w:r>
        <w:t xml:space="preserve"> </w:t>
      </w:r>
      <m:oMath>
        <m:sSub>
          <m:e>
            <m:r>
              <m:t>ω</m:t>
            </m:r>
          </m:e>
          <m:sub>
            <m:r>
              <m:t>x</m:t>
            </m:r>
          </m:sub>
        </m:sSub>
        <m:r>
          <m:rPr>
            <m:sty m:val="p"/>
          </m:rPr>
          <m:t>=</m:t>
        </m:r>
        <m:sSub>
          <m:e>
            <m:r>
              <m:rPr>
                <m:sty m:val="p"/>
                <m:nor m:val="1"/>
              </m:rPr>
              <w:rPr>
                <w:i w:val="0"/>
              </w:rPr>
              <m:t>min</m:t>
            </m:r>
          </m:e>
          <m:sub>
            <m:r>
              <m:t>c</m:t>
            </m:r>
            <m:r>
              <m:rPr>
                <m:sty m:val="p"/>
              </m:rPr>
              <m:t>∈</m:t>
            </m:r>
            <m:r>
              <m:rPr>
                <m:sty m:val="p"/>
                <m:scr m:val="double-struck"/>
              </m:rPr>
              <m:t>R</m:t>
            </m:r>
          </m:sub>
        </m:sSub>
        <m:r>
          <m:rPr>
            <m:sty m:val="p"/>
          </m:rPr>
          <m:t>∥</m:t>
        </m:r>
        <m:sSub>
          <m:e>
            <m:r>
              <m:t>H</m:t>
            </m:r>
          </m:e>
          <m:sub>
            <m:r>
              <m:t>x</m:t>
            </m:r>
          </m:sub>
        </m:sSub>
        <m:r>
          <m:rPr>
            <m:sty m:val="p"/>
          </m:rPr>
          <m:t>−</m:t>
        </m:r>
        <m:r>
          <m:t>c</m:t>
        </m:r>
        <m:r>
          <m:t>I</m:t>
        </m:r>
        <m:sSub>
          <m:e>
            <m:r>
              <m:rPr>
                <m:sty m:val="p"/>
              </m:rPr>
              <m:t>∥</m:t>
            </m:r>
          </m:e>
          <m:sub>
            <m:r>
              <m:rPr>
                <m:sty m:val="p"/>
              </m:rPr>
              <m:t>o</m:t>
            </m:r>
            <m:r>
              <m:rPr>
                <m:sty m:val="p"/>
              </m:rPr>
              <m:t>p</m:t>
            </m:r>
          </m:sub>
        </m:sSub>
      </m:oMath>
      <w:r>
        <w:t xml:space="preserve">. For equal priors and a fixed candidate fragment,</w:t>
      </w:r>
    </w:p>
    <w:p>
      <w:pPr>
        <w:pStyle w:val="BodyText"/>
      </w:pPr>
      <m:oMathPara>
        <m:oMathParaPr>
          <m:jc m:val="center"/>
        </m:oMathParaPr>
        <m:oMath>
          <m:r>
            <m:rPr>
              <m:sty m:val="p"/>
            </m:rPr>
            <m:t>∣</m:t>
          </m:r>
          <m:sSubSup>
            <m:e>
              <m:r>
                <m:t>p</m:t>
              </m:r>
            </m:e>
            <m:sub>
              <m:r>
                <m:rPr>
                  <m:sty m:val="p"/>
                </m:rPr>
                <m:t>e</m:t>
              </m:r>
              <m:r>
                <m:rPr>
                  <m:sty m:val="p"/>
                </m:rPr>
                <m:t>r</m:t>
              </m:r>
              <m:r>
                <m:rPr>
                  <m:sty m:val="p"/>
                </m:rPr>
                <m:t>r</m:t>
              </m:r>
            </m:sub>
            <m:sup>
              <m:r>
                <m:rPr>
                  <m:sty m:val="p"/>
                </m:rPr>
                <m:t>o</m:t>
              </m:r>
              <m:r>
                <m:rPr>
                  <m:sty m:val="p"/>
                </m:rPr>
                <m:t>p</m:t>
              </m:r>
              <m:r>
                <m:rPr>
                  <m:sty m:val="p"/>
                </m:rPr>
                <m:t>t</m:t>
              </m:r>
            </m:sup>
          </m:sSubSup>
          <m:r>
            <m:rPr>
              <m:sty m:val="p"/>
            </m:rPr>
            <m:t>(</m:t>
          </m:r>
          <m:r>
            <m:t>t</m:t>
          </m:r>
          <m:r>
            <m:rPr>
              <m:sty m:val="p"/>
            </m:rPr>
            <m:t>)</m:t>
          </m:r>
          <m:r>
            <m:rPr>
              <m:sty m:val="p"/>
            </m:rPr>
            <m:t>−</m:t>
          </m:r>
          <m:sSubSup>
            <m:e>
              <m:r>
                <m:t>p</m:t>
              </m:r>
            </m:e>
            <m:sub>
              <m:r>
                <m:rPr>
                  <m:sty m:val="p"/>
                </m:rPr>
                <m:t>e</m:t>
              </m:r>
              <m:r>
                <m:rPr>
                  <m:sty m:val="p"/>
                </m:rPr>
                <m:t>r</m:t>
              </m:r>
              <m:r>
                <m:rPr>
                  <m:sty m:val="p"/>
                </m:rPr>
                <m:t>r</m:t>
              </m:r>
            </m:sub>
            <m:sup>
              <m:r>
                <m:rPr>
                  <m:sty m:val="p"/>
                </m:rPr>
                <m:t>o</m:t>
              </m:r>
              <m:r>
                <m:rPr>
                  <m:sty m:val="p"/>
                </m:rPr>
                <m:t>p</m:t>
              </m:r>
              <m:r>
                <m:rPr>
                  <m:sty m:val="p"/>
                </m:rPr>
                <m:t>t</m:t>
              </m:r>
            </m:sup>
          </m:sSubSup>
          <m:r>
            <m:rPr>
              <m:sty m:val="p"/>
            </m:rPr>
            <m:t>(</m:t>
          </m:r>
          <m:r>
            <m:t>s</m:t>
          </m:r>
          <m:r>
            <m:rPr>
              <m:sty m:val="p"/>
            </m:rPr>
            <m:t>)</m:t>
          </m:r>
          <m:r>
            <m:rPr>
              <m:sty m:val="p"/>
            </m:rPr>
            <m:t>∣</m:t>
          </m:r>
          <m:r>
            <m:rPr>
              <m:sty m:val="p"/>
            </m:rPr>
            <m:t>≤</m:t>
          </m:r>
          <m:r>
            <m:t>K</m:t>
          </m:r>
          <m:r>
            <m:rPr>
              <m:sty m:val="p"/>
            </m:rPr>
            <m:t>∣</m:t>
          </m:r>
          <m:r>
            <m:t>t</m:t>
          </m:r>
          <m:r>
            <m:rPr>
              <m:sty m:val="p"/>
            </m:rPr>
            <m:t>−</m:t>
          </m:r>
          <m:r>
            <m:t>s</m:t>
          </m:r>
          <m:r>
            <m:rPr>
              <m:sty m:val="p"/>
            </m:rPr>
            <m:t>∣</m:t>
          </m:r>
          <m:r>
            <m:rPr>
              <m:sty m:val="p"/>
            </m:rPr>
            <m:t>,</m:t>
          </m:r>
          <m:r>
            <m:t>  </m:t>
          </m:r>
          <m:r>
            <m:t>K</m:t>
          </m:r>
          <m:r>
            <m:rPr>
              <m:sty m:val="p"/>
            </m:rPr>
            <m:t>=</m:t>
          </m:r>
          <m:r>
            <m:rPr>
              <m:sty m:val="p"/>
            </m:rPr>
            <m:t>(</m:t>
          </m:r>
          <m:sSub>
            <m:e>
              <m:r>
                <m:t>ω</m:t>
              </m:r>
            </m:e>
            <m:sub>
              <m:r>
                <m:t>0</m:t>
              </m:r>
            </m:sub>
          </m:sSub>
          <m:r>
            <m:rPr>
              <m:sty m:val="p"/>
            </m:rPr>
            <m:t>+</m:t>
          </m:r>
          <m:sSub>
            <m:e>
              <m:r>
                <m:t>ω</m:t>
              </m:r>
            </m:e>
            <m:sub>
              <m:r>
                <m:t>1</m:t>
              </m:r>
            </m:sub>
          </m:sSub>
          <m:r>
            <m:rPr>
              <m:sty m:val="p"/>
            </m:rPr>
            <m:t>)</m:t>
          </m:r>
          <m:r>
            <m:rPr>
              <m:sty m:val="p"/>
            </m:rPr>
            <m:t>/</m:t>
          </m:r>
          <m:r>
            <m:t>2</m:t>
          </m:r>
          <m:r>
            <m:rPr>
              <m:sty m:val="p"/>
            </m:rPr>
            <m:t>.</m:t>
          </m:r>
        </m:oMath>
      </m:oMathPara>
    </w:p>
    <w:p>
      <w:pPr>
        <w:pStyle w:val="FirstParagraph"/>
      </w:pPr>
      <w:r>
        <w:rPr>
          <w:b/>
          <w:bCs/>
        </w:rPr>
        <w:t xml:space="preserve">Proof.</w:t>
      </w:r>
      <w:r>
        <w:t xml:space="preserve"> </w:t>
      </w:r>
      <m:oMath>
        <m:r>
          <m:rPr>
            <m:sty m:val="p"/>
          </m:rPr>
          <m:t>∥</m:t>
        </m:r>
        <m:sSub>
          <m:e>
            <m:acc>
              <m:accPr>
                <m:chr m:val="̇"/>
              </m:accPr>
              <m:e>
                <m:r>
                  <m:t>ρ</m:t>
                </m:r>
              </m:e>
            </m:acc>
          </m:e>
          <m:sub>
            <m:r>
              <m:t>x</m:t>
            </m:r>
          </m:sub>
        </m:sSub>
        <m:sSub>
          <m:e>
            <m:r>
              <m:rPr>
                <m:sty m:val="p"/>
              </m:rPr>
              <m:t>∥</m:t>
            </m:r>
          </m:e>
          <m:sub>
            <m:r>
              <m:t>1</m:t>
            </m:r>
          </m:sub>
        </m:sSub>
        <m:r>
          <m:rPr>
            <m:sty m:val="p"/>
          </m:rPr>
          <m:t>=</m:t>
        </m:r>
        <m:r>
          <m:rPr>
            <m:sty m:val="p"/>
          </m:rPr>
          <m:t>∥</m:t>
        </m:r>
        <m:r>
          <m:rPr>
            <m:sty m:val="p"/>
          </m:rPr>
          <m:t>[</m:t>
        </m:r>
        <m:sSub>
          <m:e>
            <m:r>
              <m:t>H</m:t>
            </m:r>
          </m:e>
          <m:sub>
            <m:r>
              <m:t>x</m:t>
            </m:r>
          </m:sub>
        </m:sSub>
        <m:r>
          <m:rPr>
            <m:sty m:val="p"/>
          </m:rPr>
          <m:t>−</m:t>
        </m:r>
        <m:r>
          <m:t>c</m:t>
        </m:r>
        <m:r>
          <m:t>I</m:t>
        </m:r>
        <m:r>
          <m:rPr>
            <m:sty m:val="p"/>
          </m:rPr>
          <m:t>,</m:t>
        </m:r>
        <m:sSub>
          <m:e>
            <m:r>
              <m:t>ρ</m:t>
            </m:r>
          </m:e>
          <m:sub>
            <m:r>
              <m:t>x</m:t>
            </m:r>
          </m:sub>
        </m:sSub>
        <m:r>
          <m:rPr>
            <m:sty m:val="p"/>
          </m:rPr>
          <m:t>]</m:t>
        </m:r>
        <m:sSub>
          <m:e>
            <m:r>
              <m:rPr>
                <m:sty m:val="p"/>
              </m:rPr>
              <m:t>∥</m:t>
            </m:r>
          </m:e>
          <m:sub>
            <m:r>
              <m:t>1</m:t>
            </m:r>
          </m:sub>
        </m:sSub>
        <m:r>
          <m:rPr>
            <m:sty m:val="p"/>
          </m:rPr>
          <m:t>≤</m:t>
        </m:r>
        <m:r>
          <m:t>2</m:t>
        </m:r>
        <m:sSub>
          <m:e>
            <m:r>
              <m:t>ω</m:t>
            </m:r>
          </m:e>
          <m:sub>
            <m:r>
              <m:t>x</m:t>
            </m:r>
          </m:sub>
        </m:sSub>
      </m:oMath>
      <w:r>
        <w:t xml:space="preserve">. Integrating gives a trace-norm Lipschitz bound, preserved by the partial trace on Hermitian differences. Apply the reverse triangle inequality to the equal-prior Helstrom expression and sum the two branch bounds. The same bound applies to the error of any single fixed binary effect, using that a trace-zero Hermitian difference has maximal effect expectation equal to half its trace norm.</w:t>
      </w:r>
      <w:r>
        <w:t xml:space="preserve"> </w:t>
      </w:r>
      <m:oMath>
        <m:r>
          <m:rPr>
            <m:sty m:val="p"/>
          </m:rPr>
          <m:t>▫</m:t>
        </m:r>
      </m:oMath>
    </w:p>
    <w:p>
      <w:pPr>
        <w:pStyle w:val="BodyText"/>
      </w:pPr>
      <w:r>
        <w:t xml:space="preserve">Write</w:t>
      </w:r>
      <w:r>
        <w:t xml:space="preserve"> </w:t>
      </w:r>
      <m:oMath>
        <m:sSubSup>
          <m:e>
            <m:r>
              <m:t>p</m:t>
            </m:r>
          </m:e>
          <m:sub>
            <m:r>
              <m:rPr>
                <m:sty m:val="p"/>
              </m:rPr>
              <m:t>e</m:t>
            </m:r>
            <m:r>
              <m:rPr>
                <m:sty m:val="p"/>
              </m:rPr>
              <m:t>r</m:t>
            </m:r>
            <m:r>
              <m:rPr>
                <m:sty m:val="p"/>
              </m:rPr>
              <m:t>r</m:t>
            </m:r>
          </m:sub>
          <m:sup>
            <m:r>
              <m:rPr>
                <m:sty m:val="p"/>
              </m:rPr>
              <m:t>o</m:t>
            </m:r>
            <m:r>
              <m:rPr>
                <m:sty m:val="p"/>
              </m:rPr>
              <m:t>p</m:t>
            </m:r>
            <m:r>
              <m:rPr>
                <m:sty m:val="p"/>
              </m:rPr>
              <m:t>t</m:t>
            </m:r>
          </m:sup>
        </m:sSubSup>
      </m:oMath>
      <w:r>
        <w:t xml:space="preserve"> </w:t>
      </w:r>
      <w:r>
        <w:t xml:space="preserve">for the pointwise optimal error. On a closed finite window, an endpoint-inclusive grid with largest gap</w:t>
      </w:r>
      <w:r>
        <w:t xml:space="preserve"> </w:t>
      </w:r>
      <m:oMath>
        <m:r>
          <m:t>h</m:t>
        </m:r>
      </m:oMath>
      <w:r>
        <w:t xml:space="preserve"> </w:t>
      </w:r>
      <w:r>
        <w:t xml:space="preserve">and certified grid-error allowance</w:t>
      </w:r>
      <w:r>
        <w:t xml:space="preserve"> </w:t>
      </w:r>
      <m:oMath>
        <m:sSub>
          <m:e>
            <m:r>
              <m:t>η</m:t>
            </m:r>
          </m:e>
          <m:sub>
            <m:r>
              <m:rPr>
                <m:sty m:val="p"/>
              </m:rPr>
              <m:t>n</m:t>
            </m:r>
            <m:r>
              <m:rPr>
                <m:sty m:val="p"/>
              </m:rPr>
              <m:t>u</m:t>
            </m:r>
            <m:r>
              <m:rPr>
                <m:sty m:val="p"/>
              </m:rPr>
              <m:t>m</m:t>
            </m:r>
          </m:sub>
        </m:sSub>
      </m:oMath>
      <w:r>
        <w:t xml:space="preserve"> </w:t>
      </w:r>
      <w:r>
        <w:t xml:space="preserve">gives</w:t>
      </w:r>
    </w:p>
    <w:p>
      <w:pPr>
        <w:pStyle w:val="BodyText"/>
      </w:pPr>
      <m:oMathPara>
        <m:oMathParaPr>
          <m:jc m:val="center"/>
        </m:oMathParaPr>
        <m:oMath>
          <m:limLow>
            <m:e>
              <m:r>
                <m:rPr>
                  <m:sty m:val="p"/>
                  <m:nor m:val="1"/>
                </m:rPr>
                <w:rPr>
                  <w:i w:val="0"/>
                </w:rPr>
                <m:t>max</m:t>
              </m:r>
            </m:e>
            <m:lim>
              <m:r>
                <m:t>t</m:t>
              </m:r>
              <m:r>
                <m:rPr>
                  <m:sty m:val="p"/>
                </m:rPr>
                <m:t>∈</m:t>
              </m:r>
              <m:sSub>
                <m:e>
                  <m:r>
                    <m:t>T</m:t>
                  </m:r>
                </m:e>
                <m:sub>
                  <m:r>
                    <m:t>w</m:t>
                  </m:r>
                </m:sub>
              </m:sSub>
            </m:lim>
          </m:limLow>
          <m:sSubSup>
            <m:e>
              <m:r>
                <m:t>p</m:t>
              </m:r>
            </m:e>
            <m:sub>
              <m:r>
                <m:rPr>
                  <m:sty m:val="p"/>
                </m:rPr>
                <m:t>e</m:t>
              </m:r>
              <m:r>
                <m:rPr>
                  <m:sty m:val="p"/>
                </m:rPr>
                <m:t>r</m:t>
              </m:r>
              <m:r>
                <m:rPr>
                  <m:sty m:val="p"/>
                </m:rPr>
                <m:t>r</m:t>
              </m:r>
            </m:sub>
            <m:sup>
              <m:r>
                <m:rPr>
                  <m:sty m:val="p"/>
                </m:rPr>
                <m:t>o</m:t>
              </m:r>
              <m:r>
                <m:rPr>
                  <m:sty m:val="p"/>
                </m:rPr>
                <m:t>p</m:t>
              </m:r>
              <m:r>
                <m:rPr>
                  <m:sty m:val="p"/>
                </m:rPr>
                <m:t>t</m:t>
              </m:r>
            </m:sup>
          </m:sSubSup>
          <m:r>
            <m:rPr>
              <m:sty m:val="p"/>
            </m:rPr>
            <m:t>(</m:t>
          </m:r>
          <m:r>
            <m:t>t</m:t>
          </m:r>
          <m:r>
            <m:rPr>
              <m:sty m:val="p"/>
            </m:rPr>
            <m:t>)</m:t>
          </m:r>
          <m:r>
            <m:rPr>
              <m:sty m:val="p"/>
            </m:rPr>
            <m:t>≤</m:t>
          </m:r>
          <m:limLow>
            <m:e>
              <m:r>
                <m:rPr>
                  <m:sty m:val="p"/>
                  <m:nor m:val="1"/>
                </m:rPr>
                <w:rPr>
                  <w:i w:val="0"/>
                </w:rPr>
                <m:t>max</m:t>
              </m:r>
            </m:e>
            <m:lim>
              <m:r>
                <m:t>j</m:t>
              </m:r>
            </m:lim>
          </m:limLow>
          <m:sSubSup>
            <m:e>
              <m:acc>
                <m:accPr>
                  <m:chr m:val="̂"/>
                </m:accPr>
                <m:e>
                  <m:r>
                    <m:t>p</m:t>
                  </m:r>
                </m:e>
              </m:acc>
            </m:e>
            <m:sub>
              <m:r>
                <m:rPr>
                  <m:sty m:val="p"/>
                </m:rPr>
                <m:t>e</m:t>
              </m:r>
              <m:r>
                <m:rPr>
                  <m:sty m:val="p"/>
                </m:rPr>
                <m:t>r</m:t>
              </m:r>
              <m:r>
                <m:rPr>
                  <m:sty m:val="p"/>
                </m:rPr>
                <m:t>r</m:t>
              </m:r>
            </m:sub>
            <m:sup>
              <m:r>
                <m:rPr>
                  <m:sty m:val="p"/>
                </m:rPr>
                <m:t>o</m:t>
              </m:r>
              <m:r>
                <m:rPr>
                  <m:sty m:val="p"/>
                </m:rPr>
                <m:t>p</m:t>
              </m:r>
              <m:r>
                <m:rPr>
                  <m:sty m:val="p"/>
                </m:rPr>
                <m:t>t</m:t>
              </m:r>
            </m:sup>
          </m:sSubSup>
          <m:r>
            <m:rPr>
              <m:sty m:val="p"/>
            </m:rPr>
            <m:t>(</m:t>
          </m:r>
          <m:sSub>
            <m:e>
              <m:r>
                <m:t>t</m:t>
              </m:r>
            </m:e>
            <m:sub>
              <m:r>
                <m:t>j</m:t>
              </m:r>
            </m:sub>
          </m:sSub>
          <m:r>
            <m:rPr>
              <m:sty m:val="p"/>
            </m:rPr>
            <m:t>)</m:t>
          </m:r>
          <m:r>
            <m:rPr>
              <m:sty m:val="p"/>
            </m:rPr>
            <m:t>+</m:t>
          </m:r>
          <m:r>
            <m:t>K</m:t>
          </m:r>
          <m:r>
            <m:t>h</m:t>
          </m:r>
          <m:r>
            <m:rPr>
              <m:sty m:val="p"/>
            </m:rPr>
            <m:t>/</m:t>
          </m:r>
          <m:r>
            <m:t>2</m:t>
          </m:r>
          <m:r>
            <m:rPr>
              <m:sty m:val="p"/>
            </m:rPr>
            <m:t>+</m:t>
          </m:r>
          <m:sSub>
            <m:e>
              <m:r>
                <m:t>η</m:t>
              </m:r>
            </m:e>
            <m:sub>
              <m:r>
                <m:rPr>
                  <m:sty m:val="p"/>
                </m:rPr>
                <m:t>n</m:t>
              </m:r>
              <m:r>
                <m:rPr>
                  <m:sty m:val="p"/>
                </m:rPr>
                <m:t>u</m:t>
              </m:r>
              <m:r>
                <m:rPr>
                  <m:sty m:val="p"/>
                </m:rPr>
                <m:t>m</m:t>
              </m:r>
            </m:sub>
          </m:sSub>
          <m:r>
            <m:rPr>
              <m:sty m:val="p"/>
            </m:rPr>
            <m:t>.</m:t>
          </m:r>
        </m:oMath>
      </m:oMathPara>
    </w:p>
    <w:p>
      <w:pPr>
        <w:pStyle w:val="FirstParagraph"/>
      </w:pPr>
      <w:r>
        <w:t xml:space="preserve">The numerical error budget must be proved or bounded; ordinary floating-point agreement alone is not a rigorous interval enclosure. Where an analytic solution is available it can validate the entire window directly.</w:t>
      </w:r>
    </w:p>
    <w:p>
      <w:pPr>
        <w:pStyle w:val="BodyText"/>
      </w:pPr>
      <w:r>
        <w:t xml:space="preserve">For</w:t>
      </w:r>
      <w:r>
        <w:t xml:space="preserve"> </w:t>
      </w:r>
      <m:oMath>
        <m:sSub>
          <m:e>
            <m:r>
              <m:t>H</m:t>
            </m:r>
          </m:e>
          <m:sub>
            <m:r>
              <m:t>0</m:t>
            </m:r>
          </m:sub>
        </m:sSub>
        <m:r>
          <m:rPr>
            <m:sty m:val="p"/>
          </m:rPr>
          <m:t>=</m:t>
        </m:r>
        <m:r>
          <m:t>X</m:t>
        </m:r>
      </m:oMath>
      <w:r>
        <w:t xml:space="preserve">,</w:t>
      </w:r>
      <w:r>
        <w:t xml:space="preserve"> </w:t>
      </w:r>
      <m:oMath>
        <m:sSub>
          <m:e>
            <m:r>
              <m:t>H</m:t>
            </m:r>
          </m:e>
          <m:sub>
            <m:r>
              <m:t>1</m:t>
            </m:r>
          </m:sub>
        </m:sSub>
        <m:r>
          <m:rPr>
            <m:sty m:val="p"/>
          </m:rPr>
          <m:t>=</m:t>
        </m:r>
        <m:r>
          <m:rPr>
            <m:sty m:val="p"/>
          </m:rPr>
          <m:t>−</m:t>
        </m:r>
        <m:r>
          <m:t>X</m:t>
        </m:r>
      </m:oMath>
      <w:r>
        <w:t xml:space="preserve">, common initial</w:t>
      </w:r>
      <w:r>
        <w:t xml:space="preserve"> </w:t>
      </w:r>
      <m:oMath>
        <m:r>
          <m:rPr>
            <m:sty m:val="p"/>
          </m:rPr>
          <m:t>∣</m:t>
        </m:r>
        <m:r>
          <m:t>0</m:t>
        </m:r>
        <m:r>
          <m:rPr>
            <m:sty m:val="p"/>
          </m:rPr>
          <m:t>⟩</m:t>
        </m:r>
      </m:oMath>
      <w:r>
        <w:t xml:space="preserve"> </w:t>
      </w:r>
      <w:r>
        <w:t xml:space="preserve">and</w:t>
      </w:r>
      <w:r>
        <w:t xml:space="preserve"> </w:t>
      </w:r>
      <m:oMath>
        <m:sSub>
          <m:e>
            <m:r>
              <m:t>T</m:t>
            </m:r>
          </m:e>
          <m:sub>
            <m:r>
              <m:t>w</m:t>
            </m:r>
          </m:sub>
        </m:sSub>
        <m:r>
          <m:rPr>
            <m:sty m:val="p"/>
          </m:rPr>
          <m:t>=</m:t>
        </m:r>
        <m:r>
          <m:rPr>
            <m:sty m:val="p"/>
          </m:rPr>
          <m:t>[</m:t>
        </m:r>
        <m:r>
          <m:t>0.70</m:t>
        </m:r>
        <m:r>
          <m:rPr>
            <m:sty m:val="p"/>
          </m:rPr>
          <m:t>,</m:t>
        </m:r>
        <m:r>
          <m:t>0.87</m:t>
        </m:r>
        <m:r>
          <m:rPr>
            <m:sty m:val="p"/>
          </m:rPr>
          <m:t>]</m:t>
        </m:r>
      </m:oMath>
      <w:r>
        <w:t xml:space="preserve">, the analytic error is</w:t>
      </w:r>
      <w:r>
        <w:t xml:space="preserve"> </w:t>
      </w:r>
      <m:oMath>
        <m:r>
          <m:rPr>
            <m:sty m:val="p"/>
          </m:rPr>
          <m:t>(</m:t>
        </m:r>
        <m:r>
          <m:t>1</m:t>
        </m:r>
        <m:r>
          <m:rPr>
            <m:sty m:val="p"/>
          </m:rPr>
          <m:t>−</m:t>
        </m:r>
        <m:r>
          <m:rPr>
            <m:sty m:val="p"/>
            <m:nor m:val="1"/>
          </m:rPr>
          <w:rPr>
            <w:i w:val="0"/>
          </w:rPr>
          <m:t>sin</m:t>
        </m:r>
        <m:r>
          <m:t>2</m:t>
        </m:r>
        <m:r>
          <m:t>t</m:t>
        </m:r>
        <m:r>
          <m:rPr>
            <m:sty m:val="p"/>
          </m:rPr>
          <m:t>)</m:t>
        </m:r>
        <m:r>
          <m:rPr>
            <m:sty m:val="p"/>
          </m:rPr>
          <m:t>/</m:t>
        </m:r>
        <m:r>
          <m:t>2</m:t>
        </m:r>
      </m:oMath>
      <w:r>
        <w:t xml:space="preserve">. Thirty-five equally spaced points give maximum grid error</w:t>
      </w:r>
      <w:r>
        <w:t xml:space="preserve"> </w:t>
      </w:r>
      <m:oMath>
        <m:r>
          <m:t>0.0072751350</m:t>
        </m:r>
      </m:oMath>
      <w:r>
        <w:t xml:space="preserve">,</w:t>
      </w:r>
      <w:r>
        <w:t xml:space="preserve"> </w:t>
      </w:r>
      <m:oMath>
        <m:r>
          <m:t>K</m:t>
        </m:r>
        <m:r>
          <m:rPr>
            <m:sty m:val="p"/>
          </m:rPr>
          <m:t>=</m:t>
        </m:r>
        <m:r>
          <m:t>1</m:t>
        </m:r>
      </m:oMath>
      <w:r>
        <w:t xml:space="preserve"> </w:t>
      </w:r>
      <w:r>
        <w:t xml:space="preserve">and</w:t>
      </w:r>
      <w:r>
        <w:t xml:space="preserve"> </w:t>
      </w:r>
      <m:oMath>
        <m:r>
          <m:t>h</m:t>
        </m:r>
        <m:r>
          <m:rPr>
            <m:sty m:val="p"/>
          </m:rPr>
          <m:t>=</m:t>
        </m:r>
        <m:r>
          <m:t>0.005</m:t>
        </m:r>
      </m:oMath>
      <w:r>
        <w:t xml:space="preserve">, hence a whole-window upper certificate</w:t>
      </w:r>
      <w:r>
        <w:t xml:space="preserve"> </w:t>
      </w:r>
      <m:oMath>
        <m:r>
          <m:t>0.0097751350</m:t>
        </m:r>
      </m:oMath>
      <w:r>
        <w:t xml:space="preserve"> </w:t>
      </w:r>
      <w:r>
        <w:t xml:space="preserve">before a numerical allowance. The analytic formula also shows one fixed</w:t>
      </w:r>
      <w:r>
        <w:t xml:space="preserve"> </w:t>
      </w:r>
      <m:oMath>
        <m:r>
          <m:t>Y</m:t>
        </m:r>
      </m:oMath>
      <w:r>
        <w:t xml:space="preserve"> </w:t>
      </w:r>
      <w:r>
        <w:t xml:space="preserve">decoder suffices throughout this window. This calibration is distinct from certifying the original three-qubit exploratory table, whose time-averaged outcome is retained as historical data.</w:t>
      </w:r>
    </w:p>
    <w:p>
      <w:pPr>
        <w:pStyle w:val="BodyText"/>
        <w:keepNext/>
        <w:jc w:val="center"/>
      </w:pPr>
      <w:r>
        <w:drawing>
          <wp:inline>
            <wp:extent cx="5334000" cy="2706875"/>
            <wp:effectExtent b="0" l="0" r="0" t="0"/>
            <wp:docPr descr="A sampled analytic record error and its conservative whole-window certificate." title="" id="108" name="Picture"/>
            <a:graphic>
              <a:graphicData uri="http://schemas.openxmlformats.org/drawingml/2006/picture">
                <pic:pic>
                  <pic:nvPicPr>
                    <pic:cNvPr descr="../figures/persistence_certificate.png" id="109" name="Picture"/>
                    <pic:cNvPicPr>
                      <a:picLocks noChangeArrowheads="1" noChangeAspect="1"/>
                    </pic:cNvPicPr>
                  </pic:nvPicPr>
                  <pic:blipFill>
                    <a:blip r:embed="rId107"/>
                    <a:stretch>
                      <a:fillRect/>
                    </a:stretch>
                  </pic:blipFill>
                  <pic:spPr bwMode="auto">
                    <a:xfrm>
                      <a:off x="0" y="0"/>
                      <a:ext cx="5334000" cy="2706875"/>
                    </a:xfrm>
                    <a:prstGeom prst="rect">
                      <a:avLst/>
                    </a:prstGeom>
                    <a:noFill/>
                    <a:ln w="9525">
                      <a:noFill/>
                      <a:headEnd/>
                      <a:tailEnd/>
                    </a:ln>
                  </pic:spPr>
                </pic:pic>
              </a:graphicData>
            </a:graphic>
          </wp:inline>
        </w:drawing>
      </w:r>
    </w:p>
    <w:p>
      <w:pPr>
        <w:pStyle w:val="Caption"/>
        <w:spacing w:after="180"/>
      </w:pPr>
      <w:r>
        <w:rPr>
          <w:b/>
          <w:bCs/>
        </w:rPr>
        <w:t xml:space="preserve">Figure 4. Sampled accessibility is strengthened by an explicit continuity bound. This one-qubit conditional calculation certifies its stated window; it does not certify a different model or an unrestricted frame search.</w:t>
      </w:r>
    </w:p>
    <w:bookmarkStart w:id="113" w:name="X28e624c40246c59742a1ae56727038688903316"/>
    <w:p>
      <w:pPr>
        <w:pStyle w:val="Heading2"/>
      </w:pPr>
      <w:r>
        <w:t xml:space="preserve">D.1 Localised certificate without arbitrary term grouping</w:t>
      </w:r>
    </w:p>
    <w:p>
      <w:pPr>
        <w:pStyle w:val="FirstParagraph"/>
      </w:pPr>
      <w:r>
        <w:rPr>
          <w:b/>
          <w:bCs/>
        </w:rPr>
        <w:t xml:space="preserve">Proposition 5a.</w:t>
      </w:r>
      <w:r>
        <w:t xml:space="preserve"> </w:t>
      </w:r>
      <w:r>
        <w:t xml:space="preserve">In the coordinates of a fixed candidate, define the normalized conditional expectation onto complement-only operators and the touching part by</w:t>
      </w:r>
    </w:p>
    <w:p>
      <w:pPr>
        <w:pStyle w:val="BodyText"/>
      </w:pPr>
      <m:oMathPara>
        <m:oMathParaPr>
          <m:jc m:val="center"/>
        </m:oMathParaPr>
        <m:oMath>
          <m:sSub>
            <m:e>
              <m:r>
                <m:rPr>
                  <m:sty m:val="p"/>
                  <m:scr m:val="script"/>
                </m:rPr>
                <m:t>E</m:t>
              </m:r>
            </m:e>
            <m:sub>
              <m:acc>
                <m:accPr>
                  <m:chr m:val="‾"/>
                </m:accPr>
                <m:e>
                  <m:r>
                    <m:t>F</m:t>
                  </m:r>
                </m:e>
              </m:acc>
            </m:sub>
          </m:sSub>
          <m:r>
            <m:rPr>
              <m:sty m:val="p"/>
            </m:rPr>
            <m:t>(</m:t>
          </m:r>
          <m:sSub>
            <m:e>
              <m:r>
                <m:t>H</m:t>
              </m:r>
            </m:e>
            <m:sub>
              <m:r>
                <m:t>x</m:t>
              </m:r>
            </m:sub>
          </m:sSub>
          <m:r>
            <m:rPr>
              <m:sty m:val="p"/>
            </m:rPr>
            <m:t>)</m:t>
          </m:r>
          <m:r>
            <m:rPr>
              <m:sty m:val="p"/>
            </m:rPr>
            <m:t>=</m:t>
          </m:r>
          <m:f>
            <m:fPr>
              <m:type m:val="bar"/>
            </m:fPr>
            <m:num>
              <m:sSub>
                <m:e>
                  <m:r>
                    <m:t>I</m:t>
                  </m:r>
                </m:e>
                <m:sub>
                  <m:r>
                    <m:t>F</m:t>
                  </m:r>
                </m:sub>
              </m:sSub>
            </m:num>
            <m:den>
              <m:sSub>
                <m:e>
                  <m:r>
                    <m:t>d</m:t>
                  </m:r>
                </m:e>
                <m:sub>
                  <m:r>
                    <m:t>F</m:t>
                  </m:r>
                </m:sub>
              </m:sSub>
            </m:den>
          </m:f>
          <m:r>
            <m:rPr>
              <m:sty m:val="p"/>
            </m:rPr>
            <m:t>⊗</m:t>
          </m:r>
          <m:sSub>
            <m:e>
              <m:r>
                <m:rPr>
                  <m:sty m:val="p"/>
                  <m:nor m:val="1"/>
                </m:rPr>
                <w:rPr>
                  <w:i w:val="0"/>
                </w:rPr>
                <m:t>Tr</m:t>
              </m:r>
            </m:e>
            <m:sub>
              <m:r>
                <m:t>F</m:t>
              </m:r>
            </m:sub>
          </m:sSub>
          <m:sSub>
            <m:e>
              <m:r>
                <m:t>H</m:t>
              </m:r>
            </m:e>
            <m:sub>
              <m:r>
                <m:t>x</m:t>
              </m:r>
            </m:sub>
          </m:sSub>
          <m:r>
            <m:rPr>
              <m:sty m:val="p"/>
            </m:rPr>
            <m:t>,</m:t>
          </m:r>
          <m:r>
            <m:t>  </m:t>
          </m:r>
          <m:sSub>
            <m:e>
              <m:r>
                <m:t>H</m:t>
              </m:r>
            </m:e>
            <m:sub>
              <m:r>
                <m:t>x</m:t>
              </m:r>
              <m:r>
                <m:rPr>
                  <m:sty m:val="p"/>
                </m:rPr>
                <m:t>,</m:t>
              </m:r>
              <m:r>
                <m:rPr>
                  <m:sty m:val="p"/>
                </m:rPr>
                <m:t>t</m:t>
              </m:r>
              <m:r>
                <m:rPr>
                  <m:sty m:val="p"/>
                </m:rPr>
                <m:t>o</m:t>
              </m:r>
              <m:r>
                <m:rPr>
                  <m:sty m:val="p"/>
                </m:rPr>
                <m:t>u</m:t>
              </m:r>
              <m:r>
                <m:rPr>
                  <m:sty m:val="p"/>
                </m:rPr>
                <m:t>c</m:t>
              </m:r>
              <m:r>
                <m:rPr>
                  <m:sty m:val="p"/>
                </m:rPr>
                <m:t>h</m:t>
              </m:r>
              <m:r>
                <m:t> </m:t>
              </m:r>
              <m:r>
                <m:t>F</m:t>
              </m:r>
            </m:sub>
          </m:sSub>
          <m:r>
            <m:rPr>
              <m:sty m:val="p"/>
            </m:rPr>
            <m:t>=</m:t>
          </m:r>
          <m:sSub>
            <m:e>
              <m:r>
                <m:t>H</m:t>
              </m:r>
            </m:e>
            <m:sub>
              <m:r>
                <m:t>x</m:t>
              </m:r>
            </m:sub>
          </m:sSub>
          <m:r>
            <m:rPr>
              <m:sty m:val="p"/>
            </m:rPr>
            <m:t>−</m:t>
          </m:r>
          <m:sSub>
            <m:e>
              <m:r>
                <m:rPr>
                  <m:sty m:val="p"/>
                  <m:scr m:val="script"/>
                </m:rPr>
                <m:t>E</m:t>
              </m:r>
            </m:e>
            <m:sub>
              <m:acc>
                <m:accPr>
                  <m:chr m:val="‾"/>
                </m:accPr>
                <m:e>
                  <m:r>
                    <m:t>F</m:t>
                  </m:r>
                </m:e>
              </m:acc>
            </m:sub>
          </m:sSub>
          <m:r>
            <m:rPr>
              <m:sty m:val="p"/>
            </m:rPr>
            <m:t>(</m:t>
          </m:r>
          <m:sSub>
            <m:e>
              <m:r>
                <m:t>H</m:t>
              </m:r>
            </m:e>
            <m:sub>
              <m:r>
                <m:t>x</m:t>
              </m:r>
            </m:sub>
          </m:sSub>
          <m:r>
            <m:rPr>
              <m:sty m:val="p"/>
            </m:rPr>
            <m:t>)</m:t>
          </m:r>
          <m:r>
            <m:rPr>
              <m:sty m:val="p"/>
            </m:rPr>
            <m:t>.</m:t>
          </m:r>
        </m:oMath>
      </m:oMathPara>
    </w:p>
    <w:p>
      <w:pPr>
        <w:pStyle w:val="FirstParagraph"/>
      </w:pPr>
      <w:r>
        <w:t xml:space="preserve">The tensor placement follows the chosen</w:t>
      </w:r>
      <w:r>
        <w:t xml:space="preserve"> </w:t>
      </w:r>
      <m:oMath>
        <m:r>
          <m:t>F</m:t>
        </m:r>
        <m:r>
          <m:rPr>
            <m:sty m:val="p"/>
          </m:rPr>
          <m:t>∣</m:t>
        </m:r>
        <m:acc>
          <m:accPr>
            <m:chr m:val="‾"/>
          </m:accPr>
          <m:e>
            <m:r>
              <m:t>F</m:t>
            </m:r>
          </m:e>
        </m:acc>
      </m:oMath>
      <w:r>
        <w:t xml:space="preserve"> </w:t>
      </w:r>
      <w:r>
        <w:t xml:space="preserve">ordering. Put</w:t>
      </w:r>
    </w:p>
    <w:p>
      <w:pPr>
        <w:pStyle w:val="BodyText"/>
      </w:pPr>
      <m:oMathPara>
        <m:oMathParaPr>
          <m:jc m:val="center"/>
        </m:oMathParaPr>
        <m:oMath>
          <m:sSub>
            <m:e>
              <m:r>
                <m:t>ω</m:t>
              </m:r>
            </m:e>
            <m:sub>
              <m:r>
                <m:t>x</m:t>
              </m:r>
              <m:r>
                <m:rPr>
                  <m:sty m:val="p"/>
                </m:rPr>
                <m:t>,</m:t>
              </m:r>
              <m:r>
                <m:t>F</m:t>
              </m:r>
            </m:sub>
          </m:sSub>
          <m:r>
            <m:rPr>
              <m:sty m:val="p"/>
            </m:rPr>
            <m:t>=</m:t>
          </m:r>
          <m:limLow>
            <m:e>
              <m:r>
                <m:rPr>
                  <m:sty m:val="p"/>
                  <m:nor m:val="1"/>
                </m:rPr>
                <w:rPr>
                  <w:i w:val="0"/>
                </w:rPr>
                <m:t>inf</m:t>
              </m:r>
            </m:e>
            <m:lim>
              <m:r>
                <m:t>c</m:t>
              </m:r>
              <m:r>
                <m:rPr>
                  <m:sty m:val="p"/>
                </m:rPr>
                <m:t>∈</m:t>
              </m:r>
              <m:r>
                <m:rPr>
                  <m:sty m:val="p"/>
                  <m:scr m:val="double-struck"/>
                </m:rPr>
                <m:t>R</m:t>
              </m:r>
            </m:lim>
          </m:limLow>
          <m:r>
            <m:rPr>
              <m:sty m:val="p"/>
            </m:rPr>
            <m:t>∥</m:t>
          </m:r>
          <m:sSub>
            <m:e>
              <m:r>
                <m:t>H</m:t>
              </m:r>
            </m:e>
            <m:sub>
              <m:r>
                <m:t>x</m:t>
              </m:r>
              <m:r>
                <m:rPr>
                  <m:sty m:val="p"/>
                </m:rPr>
                <m:t>,</m:t>
              </m:r>
              <m:r>
                <m:rPr>
                  <m:sty m:val="p"/>
                </m:rPr>
                <m:t>t</m:t>
              </m:r>
              <m:r>
                <m:rPr>
                  <m:sty m:val="p"/>
                </m:rPr>
                <m:t>o</m:t>
              </m:r>
              <m:r>
                <m:rPr>
                  <m:sty m:val="p"/>
                </m:rPr>
                <m:t>u</m:t>
              </m:r>
              <m:r>
                <m:rPr>
                  <m:sty m:val="p"/>
                </m:rPr>
                <m:t>c</m:t>
              </m:r>
              <m:r>
                <m:rPr>
                  <m:sty m:val="p"/>
                </m:rPr>
                <m:t>h</m:t>
              </m:r>
              <m:r>
                <m:t> </m:t>
              </m:r>
              <m:r>
                <m:t>F</m:t>
              </m:r>
            </m:sub>
          </m:sSub>
          <m:r>
            <m:rPr>
              <m:sty m:val="p"/>
            </m:rPr>
            <m:t>−</m:t>
          </m:r>
          <m:r>
            <m:t>c</m:t>
          </m:r>
          <m:r>
            <m:t>I</m:t>
          </m:r>
          <m:sSub>
            <m:e>
              <m:r>
                <m:rPr>
                  <m:sty m:val="p"/>
                </m:rPr>
                <m:t>∥</m:t>
              </m:r>
            </m:e>
            <m:sub>
              <m:r>
                <m:rPr>
                  <m:sty m:val="p"/>
                </m:rPr>
                <m:t>o</m:t>
              </m:r>
              <m:r>
                <m:rPr>
                  <m:sty m:val="p"/>
                </m:rPr>
                <m:t>p</m:t>
              </m:r>
            </m:sub>
          </m:sSub>
          <m:r>
            <m:rPr>
              <m:sty m:val="p"/>
            </m:rPr>
            <m:t>,</m:t>
          </m:r>
          <m:r>
            <m:t>  </m:t>
          </m:r>
          <m:sSub>
            <m:e>
              <m:r>
                <m:t>K</m:t>
              </m:r>
            </m:e>
            <m:sub>
              <m:r>
                <m:t>F</m:t>
              </m:r>
            </m:sub>
          </m:sSub>
          <m:r>
            <m:rPr>
              <m:sty m:val="p"/>
            </m:rPr>
            <m:t>=</m:t>
          </m:r>
          <m:r>
            <m:rPr>
              <m:sty m:val="p"/>
            </m:rPr>
            <m:t>(</m:t>
          </m:r>
          <m:sSub>
            <m:e>
              <m:r>
                <m:t>ω</m:t>
              </m:r>
            </m:e>
            <m:sub>
              <m:r>
                <m:t>0</m:t>
              </m:r>
              <m:r>
                <m:rPr>
                  <m:sty m:val="p"/>
                </m:rPr>
                <m:t>,</m:t>
              </m:r>
              <m:r>
                <m:t>F</m:t>
              </m:r>
            </m:sub>
          </m:sSub>
          <m:r>
            <m:rPr>
              <m:sty m:val="p"/>
            </m:rPr>
            <m:t>+</m:t>
          </m:r>
          <m:sSub>
            <m:e>
              <m:r>
                <m:t>ω</m:t>
              </m:r>
            </m:e>
            <m:sub>
              <m:r>
                <m:t>1</m:t>
              </m:r>
              <m:r>
                <m:rPr>
                  <m:sty m:val="p"/>
                </m:rPr>
                <m:t>,</m:t>
              </m:r>
              <m:r>
                <m:t>F</m:t>
              </m:r>
            </m:sub>
          </m:sSub>
          <m:r>
            <m:rPr>
              <m:sty m:val="p"/>
            </m:rPr>
            <m:t>)</m:t>
          </m:r>
          <m:r>
            <m:rPr>
              <m:sty m:val="p"/>
            </m:rPr>
            <m:t>/</m:t>
          </m:r>
          <m:r>
            <m:t>2</m:t>
          </m:r>
          <m:r>
            <m:rPr>
              <m:sty m:val="p"/>
            </m:rPr>
            <m:t>.</m:t>
          </m:r>
        </m:oMath>
      </m:oMathPara>
    </w:p>
    <w:p>
      <w:pPr>
        <w:pStyle w:val="FirstParagraph"/>
      </w:pPr>
      <w:r>
        <w:t xml:space="preserve">The Lipschitz and grid bounds of Proposition 5 remain valid with</w:t>
      </w:r>
      <w:r>
        <w:t xml:space="preserve"> </w:t>
      </w:r>
      <m:oMath>
        <m:sSub>
          <m:e>
            <m:r>
              <m:t>K</m:t>
            </m:r>
          </m:e>
          <m:sub>
            <m:r>
              <m:t>F</m:t>
            </m:r>
          </m:sub>
        </m:sSub>
      </m:oMath>
      <w:r>
        <w:t xml:space="preserve">. They also remain valid using</w:t>
      </w:r>
      <w:r>
        <w:t xml:space="preserve"> </w:t>
      </w:r>
      <m:oMath>
        <m:sSub>
          <m:e>
            <m:r>
              <m:t>K</m:t>
            </m:r>
          </m:e>
          <m:sub>
            <m:r>
              <m:rPr>
                <m:sty m:val="p"/>
              </m:rPr>
              <m:t>b</m:t>
            </m:r>
            <m:r>
              <m:rPr>
                <m:sty m:val="p"/>
              </m:rPr>
              <m:t>e</m:t>
            </m:r>
            <m:r>
              <m:rPr>
                <m:sty m:val="p"/>
              </m:rPr>
              <m:t>s</m:t>
            </m:r>
            <m:r>
              <m:rPr>
                <m:sty m:val="p"/>
              </m:rPr>
              <m:t>t</m:t>
            </m:r>
          </m:sub>
        </m:sSub>
        <m:r>
          <m:rPr>
            <m:sty m:val="p"/>
          </m:rPr>
          <m:t>=</m:t>
        </m:r>
        <m:f>
          <m:fPr>
            <m:type m:val="lin"/>
          </m:fPr>
          <m:num>
            <m:r>
              <m:t>1</m:t>
            </m:r>
          </m:num>
          <m:den>
            <m:r>
              <m:t>2</m:t>
            </m:r>
          </m:den>
        </m:f>
        <m:nary>
          <m:naryPr>
            <m:chr m:val="∑"/>
            <m:limLoc m:val="undOvr"/>
            <m:subHide m:val="off"/>
            <m:supHide m:val="on"/>
          </m:naryPr>
          <m:sub>
            <m:r>
              <m:t>x</m:t>
            </m:r>
          </m:sub>
          <m:sup>
            <m:r>
              <m:t>​</m:t>
            </m:r>
          </m:sup>
          <m:e>
            <m:r>
              <m:rPr>
                <m:sty m:val="p"/>
                <m:nor m:val="1"/>
              </m:rPr>
              <w:rPr>
                <w:i w:val="0"/>
              </w:rPr>
              <m:t>min</m:t>
            </m:r>
          </m:e>
        </m:nary>
        <m:r>
          <m:rPr>
            <m:sty m:val="p"/>
          </m:rPr>
          <m:t>(</m:t>
        </m:r>
        <m:sSub>
          <m:e>
            <m:r>
              <m:t>ω</m:t>
            </m:r>
          </m:e>
          <m:sub>
            <m:r>
              <m:t>x</m:t>
            </m:r>
          </m:sub>
        </m:sSub>
        <m:r>
          <m:rPr>
            <m:sty m:val="p"/>
          </m:rPr>
          <m:t>,</m:t>
        </m:r>
        <m:sSub>
          <m:e>
            <m:r>
              <m:t>ω</m:t>
            </m:r>
          </m:e>
          <m:sub>
            <m:r>
              <m:t>x</m:t>
            </m:r>
            <m:r>
              <m:rPr>
                <m:sty m:val="p"/>
              </m:rPr>
              <m:t>,</m:t>
            </m:r>
            <m:r>
              <m:t>F</m:t>
            </m:r>
          </m:sub>
        </m:sSub>
        <m:r>
          <m:rPr>
            <m:sty m:val="p"/>
          </m:rPr>
          <m:t>)</m:t>
        </m:r>
      </m:oMath>
      <w:r>
        <w:t xml:space="preserve">.</w:t>
      </w:r>
    </w:p>
    <w:p>
      <w:pPr>
        <w:pStyle w:val="BodyText"/>
      </w:pPr>
      <w:r>
        <w:rPr>
          <w:b/>
          <w:bCs/>
        </w:rPr>
        <w:t xml:space="preserve">Proof.</w:t>
      </w:r>
      <w:r>
        <w:t xml:space="preserve"> </w:t>
      </w:r>
      <w:r>
        <w:t xml:space="preserve">Complement-only commutators vanish after the partial trace, including on entangled states. Consequently</w:t>
      </w:r>
      <w:r>
        <w:t xml:space="preserve"> </w:t>
      </w:r>
      <m:oMath>
        <m:sSub>
          <m:e>
            <m:acc>
              <m:accPr>
                <m:chr m:val="̇"/>
              </m:accPr>
              <m:e>
                <m:r>
                  <m:t>ρ</m:t>
                </m:r>
              </m:e>
            </m:acc>
          </m:e>
          <m:sub>
            <m:r>
              <m:t>F</m:t>
            </m:r>
            <m:r>
              <m:rPr>
                <m:sty m:val="p"/>
              </m:rPr>
              <m:t>,</m:t>
            </m:r>
            <m:r>
              <m:t>x</m:t>
            </m:r>
          </m:sub>
        </m:sSub>
        <m:r>
          <m:rPr>
            <m:sty m:val="p"/>
          </m:rPr>
          <m:t>=</m:t>
        </m:r>
        <m:r>
          <m:rPr>
            <m:sty m:val="p"/>
          </m:rPr>
          <m:t>−</m:t>
        </m:r>
        <m:r>
          <m:t>i</m:t>
        </m:r>
        <m:sSub>
          <m:e>
            <m:r>
              <m:rPr>
                <m:sty m:val="p"/>
                <m:nor m:val="1"/>
              </m:rPr>
              <w:rPr>
                <w:i w:val="0"/>
              </w:rPr>
              <m:t>Tr</m:t>
            </m:r>
          </m:e>
          <m:sub>
            <m:acc>
              <m:accPr>
                <m:chr m:val="‾"/>
              </m:accPr>
              <m:e>
                <m:r>
                  <m:t>F</m:t>
                </m:r>
              </m:e>
            </m:acc>
          </m:sub>
        </m:sSub>
        <m:r>
          <m:rPr>
            <m:sty m:val="p"/>
          </m:rPr>
          <m:t>[</m:t>
        </m:r>
        <m:sSub>
          <m:e>
            <m:r>
              <m:t>H</m:t>
            </m:r>
          </m:e>
          <m:sub>
            <m:r>
              <m:t>x</m:t>
            </m:r>
            <m:r>
              <m:rPr>
                <m:sty m:val="p"/>
              </m:rPr>
              <m:t>,</m:t>
            </m:r>
            <m:r>
              <m:rPr>
                <m:sty m:val="p"/>
              </m:rPr>
              <m:t>t</m:t>
            </m:r>
            <m:r>
              <m:rPr>
                <m:sty m:val="p"/>
              </m:rPr>
              <m:t>o</m:t>
            </m:r>
            <m:r>
              <m:rPr>
                <m:sty m:val="p"/>
              </m:rPr>
              <m:t>u</m:t>
            </m:r>
            <m:r>
              <m:rPr>
                <m:sty m:val="p"/>
              </m:rPr>
              <m:t>c</m:t>
            </m:r>
            <m:r>
              <m:rPr>
                <m:sty m:val="p"/>
              </m:rPr>
              <m:t>h</m:t>
            </m:r>
            <m:r>
              <m:t> </m:t>
            </m:r>
            <m:r>
              <m:t>F</m:t>
            </m:r>
          </m:sub>
        </m:sSub>
        <m:r>
          <m:rPr>
            <m:sty m:val="p"/>
          </m:rPr>
          <m:t>−</m:t>
        </m:r>
        <m:r>
          <m:t>c</m:t>
        </m:r>
        <m:r>
          <m:t>I</m:t>
        </m:r>
        <m:r>
          <m:rPr>
            <m:sty m:val="p"/>
          </m:rPr>
          <m:t>,</m:t>
        </m:r>
        <m:sSub>
          <m:e>
            <m:r>
              <m:t>ρ</m:t>
            </m:r>
          </m:e>
          <m:sub>
            <m:r>
              <m:t>x</m:t>
            </m:r>
          </m:sub>
        </m:sSub>
        <m:r>
          <m:rPr>
            <m:sty m:val="p"/>
          </m:rPr>
          <m:t>]</m:t>
        </m:r>
      </m:oMath>
      <w:r>
        <w:t xml:space="preserve">. The Hermitian operator</w:t>
      </w:r>
      <w:r>
        <w:t xml:space="preserve"> </w:t>
      </w:r>
      <m:oMath>
        <m:r>
          <m:rPr>
            <m:sty m:val="p"/>
          </m:rPr>
          <m:t>−</m:t>
        </m:r>
        <m:r>
          <m:t>i</m:t>
        </m:r>
        <m:r>
          <m:rPr>
            <m:sty m:val="p"/>
          </m:rPr>
          <m:t>[</m:t>
        </m:r>
        <m:r>
          <m:t>H</m:t>
        </m:r>
        <m:r>
          <m:rPr>
            <m:sty m:val="p"/>
          </m:rPr>
          <m:t>,</m:t>
        </m:r>
        <m:r>
          <m:t>ρ</m:t>
        </m:r>
        <m:r>
          <m:rPr>
            <m:sty m:val="p"/>
          </m:rPr>
          <m:t>]</m:t>
        </m:r>
      </m:oMath>
      <w:r>
        <w:t xml:space="preserve"> </w:t>
      </w:r>
      <w:r>
        <w:t xml:space="preserve">obeys trace-norm contraction under partial trace, and</w:t>
      </w:r>
      <w:r>
        <w:t xml:space="preserve"> </w:t>
      </w:r>
      <m:oMath>
        <m:r>
          <m:rPr>
            <m:sty m:val="p"/>
          </m:rPr>
          <m:t>∥</m:t>
        </m:r>
        <m:r>
          <m:rPr>
            <m:sty m:val="p"/>
          </m:rPr>
          <m:t>[</m:t>
        </m:r>
        <m:r>
          <m:t>A</m:t>
        </m:r>
        <m:r>
          <m:rPr>
            <m:sty m:val="p"/>
          </m:rPr>
          <m:t>,</m:t>
        </m:r>
        <m:r>
          <m:t>ρ</m:t>
        </m:r>
        <m:r>
          <m:rPr>
            <m:sty m:val="p"/>
          </m:rPr>
          <m:t>]</m:t>
        </m:r>
        <m:sSub>
          <m:e>
            <m:r>
              <m:rPr>
                <m:sty m:val="p"/>
              </m:rPr>
              <m:t>∥</m:t>
            </m:r>
          </m:e>
          <m:sub>
            <m:r>
              <m:t>1</m:t>
            </m:r>
          </m:sub>
        </m:sSub>
        <m:r>
          <m:rPr>
            <m:sty m:val="p"/>
          </m:rPr>
          <m:t>≤</m:t>
        </m:r>
        <m:r>
          <m:t>2</m:t>
        </m:r>
        <m:r>
          <m:rPr>
            <m:sty m:val="p"/>
          </m:rPr>
          <m:t>∥</m:t>
        </m:r>
        <m:r>
          <m:t>A</m:t>
        </m:r>
        <m:sSub>
          <m:e>
            <m:r>
              <m:rPr>
                <m:sty m:val="p"/>
              </m:rPr>
              <m:t>∥</m:t>
            </m:r>
          </m:e>
          <m:sub>
            <m:r>
              <m:rPr>
                <m:sty m:val="p"/>
              </m:rPr>
              <m:t>o</m:t>
            </m:r>
            <m:r>
              <m:rPr>
                <m:sty m:val="p"/>
              </m:rPr>
              <m:t>p</m:t>
            </m:r>
          </m:sub>
        </m:sSub>
      </m:oMath>
      <w:r>
        <w:t xml:space="preserve">. Integrate and apply the Helstrom reverse-triangle argument. Both the global and touching bounds hold per branch, so their minima can be used.</w:t>
      </w:r>
      <w:r>
        <w:t xml:space="preserve"> </w:t>
      </w:r>
      <m:oMath>
        <m:r>
          <m:rPr>
            <m:sty m:val="p"/>
          </m:rPr>
          <m:t>▫</m:t>
        </m:r>
      </m:oMath>
    </w:p>
    <w:p>
      <w:pPr>
        <w:pStyle w:val="BodyText"/>
      </w:pPr>
      <w:r>
        <w:t xml:space="preserve">An explicit supported-term decomposition gives another valid bound, as follows directly from termwise support. The conditional-expectation form removes arbitrary grouping and cancels all complement-only Pauli components. For fixed-size fragments in bounded-degree models with uniformly bounded incident interactions in the scored frame, the touching bound stays bounded as system size grows. It need not do so for arbitrary nonlocal candidate frames, growing fragments, unbounded couplings or dense graphs. It is not guaranteed smaller than the global bound, hence the minimum above. A tighter derivative bound does not remove decoder or roundoff obligations.</w:t>
      </w:r>
    </w:p>
    <w:p>
      <w:pPr>
        <w:pStyle w:val="BodyText"/>
        <w:keepNext/>
        <w:jc w:val="center"/>
      </w:pPr>
      <w:r>
        <w:drawing>
          <wp:inline>
            <wp:extent cx="5334000" cy="2802682"/>
            <wp:effectExtent b="0" l="0" r="0" t="0"/>
            <wp:docPr descr="Global and fragment-touching constants in a declared nearest-neighbour model." title="" id="111" name="Picture"/>
            <a:graphic>
              <a:graphicData uri="http://schemas.openxmlformats.org/drawingml/2006/picture">
                <pic:pic>
                  <pic:nvPicPr>
                    <pic:cNvPr descr="../figures/localized_constants.png" id="112" name="Picture"/>
                    <pic:cNvPicPr>
                      <a:picLocks noChangeArrowheads="1" noChangeAspect="1"/>
                    </pic:cNvPicPr>
                  </pic:nvPicPr>
                  <pic:blipFill>
                    <a:blip r:embed="rId110"/>
                    <a:stretch>
                      <a:fillRect/>
                    </a:stretch>
                  </pic:blipFill>
                  <pic:spPr bwMode="auto">
                    <a:xfrm>
                      <a:off x="0" y="0"/>
                      <a:ext cx="5334000" cy="2802682"/>
                    </a:xfrm>
                    <a:prstGeom prst="rect">
                      <a:avLst/>
                    </a:prstGeom>
                    <a:noFill/>
                    <a:ln w="9525">
                      <a:noFill/>
                      <a:headEnd/>
                      <a:tailEnd/>
                    </a:ln>
                  </pic:spPr>
                </pic:pic>
              </a:graphicData>
            </a:graphic>
          </wp:inline>
        </w:drawing>
      </w:r>
    </w:p>
    <w:p>
      <w:pPr>
        <w:pStyle w:val="Caption"/>
        <w:spacing w:after="180"/>
      </w:pPr>
      <w:r>
        <w:rPr>
          <w:b/>
          <w:bCs/>
        </w:rPr>
        <w:t xml:space="preserve">Figure 5. Local certification in a specified model. The new calculation uses</w:t>
      </w:r>
      <w:r>
        <w:rPr>
          <w:b/>
          <w:bCs/>
        </w:rPr>
        <w:t xml:space="preserve"> </w:t>
      </w:r>
      <m:oMath>
        <m:sSub>
          <m:e>
            <m:r>
              <m:t>H</m:t>
            </m:r>
          </m:e>
          <m:sub>
            <m:r>
              <m:t>S</m:t>
            </m:r>
          </m:sub>
        </m:sSub>
        <m:r>
          <m:rPr>
            <m:sty m:val="p"/>
          </m:rPr>
          <m:t>=</m:t>
        </m:r>
        <m:r>
          <m:t>0.05</m:t>
        </m:r>
        <m:nary>
          <m:naryPr>
            <m:chr m:val="∑"/>
            <m:limLoc m:val="undOvr"/>
            <m:subHide m:val="off"/>
            <m:supHide m:val="on"/>
          </m:naryPr>
          <m:sub>
            <m:r>
              <m:t>j</m:t>
            </m:r>
          </m:sub>
          <m:sup>
            <m:r>
              <m:t>​</m:t>
            </m:r>
          </m:sup>
          <m:e>
            <m:sSub>
              <m:e>
                <m:r>
                  <m:t>Z</m:t>
                </m:r>
              </m:e>
              <m:sub>
                <m:r>
                  <m:t>j</m:t>
                </m:r>
              </m:sub>
            </m:sSub>
          </m:e>
        </m:nary>
        <m:sSub>
          <m:e>
            <m:r>
              <m:t>Z</m:t>
            </m:r>
          </m:e>
          <m:sub>
            <m:r>
              <m:t>j</m:t>
            </m:r>
            <m:r>
              <m:rPr>
                <m:sty m:val="p"/>
              </m:rPr>
              <m:t>+</m:t>
            </m:r>
            <m:r>
              <m:t>1</m:t>
            </m:r>
          </m:sub>
        </m:sSub>
      </m:oMath>
      <w:r>
        <w:rPr>
          <w:b/>
          <w:bCs/>
        </w:rPr>
        <w:t xml:space="preserve"> </w:t>
      </w:r>
      <w:r>
        <w:rPr>
          <w:b/>
          <w:bCs/>
        </w:rPr>
        <w:t xml:space="preserve">and</w:t>
      </w:r>
      <w:r>
        <w:rPr>
          <w:b/>
          <w:bCs/>
        </w:rPr>
        <w:t xml:space="preserve"> </w:t>
      </w:r>
      <m:oMath>
        <m:sSub>
          <m:e>
            <m:r>
              <m:t>K</m:t>
            </m:r>
          </m:e>
          <m:sub>
            <m:r>
              <m:t>x</m:t>
            </m:r>
          </m:sub>
        </m:sSub>
        <m:r>
          <m:rPr>
            <m:sty m:val="p"/>
          </m:rPr>
          <m:t>=</m:t>
        </m:r>
        <m:sSup>
          <m:e>
            <m:r>
              <m:rPr>
                <m:sty m:val="p"/>
              </m:rPr>
              <m:t>(</m:t>
            </m:r>
            <m:r>
              <m:rPr>
                <m:sty m:val="p"/>
              </m:rPr>
              <m:t>−</m:t>
            </m:r>
            <m:r>
              <m:t>1</m:t>
            </m:r>
            <m:r>
              <m:rPr>
                <m:sty m:val="p"/>
              </m:rPr>
              <m:t>)</m:t>
            </m:r>
          </m:e>
          <m:sup>
            <m:r>
              <m:t>x</m:t>
            </m:r>
          </m:sup>
        </m:sSup>
        <m:nary>
          <m:naryPr>
            <m:chr m:val="∑"/>
            <m:limLoc m:val="undOvr"/>
            <m:subHide m:val="off"/>
            <m:supHide m:val="on"/>
          </m:naryPr>
          <m:sub>
            <m:r>
              <m:t>j</m:t>
            </m:r>
          </m:sub>
          <m:sup>
            <m:r>
              <m:t>​</m:t>
            </m:r>
          </m:sup>
          <m:e>
            <m:sSub>
              <m:e>
                <m:r>
                  <m:t>X</m:t>
                </m:r>
              </m:e>
              <m:sub>
                <m:r>
                  <m:t>j</m:t>
                </m:r>
              </m:sub>
            </m:sSub>
          </m:e>
        </m:nary>
      </m:oMath>
      <w:r>
        <w:rPr>
          <w:b/>
          <w:bCs/>
        </w:rPr>
        <w:t xml:space="preserve"> </w:t>
      </w:r>
      <w:r>
        <w:rPr>
          <w:b/>
          <w:bCs/>
        </w:rPr>
        <w:t xml:space="preserve">for 2, 4 and 6 qubits. The endpoint touching constant is</w:t>
      </w:r>
      <w:r>
        <w:rPr>
          <w:b/>
          <w:bCs/>
        </w:rPr>
        <w:t xml:space="preserve"> </w:t>
      </w:r>
      <m:oMath>
        <m:rad>
          <m:radPr>
            <m:degHide m:val="on"/>
          </m:radPr>
          <m:deg/>
          <m:e>
            <m:r>
              <m:t>1.0025</m:t>
            </m:r>
          </m:e>
        </m:rad>
      </m:oMath>
      <w:r>
        <w:rPr>
          <w:b/>
          <w:bCs/>
        </w:rPr>
        <w:t xml:space="preserve"> </w:t>
      </w:r>
      <w:r>
        <w:rPr>
          <w:b/>
          <w:bCs/>
        </w:rPr>
        <w:t xml:space="preserve">at each size. The conditional expectation removes complement-only terms; the illustration does not prove size independence in every candidate frame.</w:t>
      </w:r>
    </w:p>
    <w:bookmarkEnd w:id="113"/>
    <w:bookmarkEnd w:id="114"/>
    <w:bookmarkStart w:id="115" w:name="Xd07ccc4266922033a646086da6cdb8bf5ee1a87"/>
    <w:p>
      <w:pPr>
        <w:pStyle w:val="Heading1"/>
        <w:keepNext/>
      </w:pPr>
      <w:r>
        <w:t xml:space="preserve">Appendix E. Perturbation robustness is not a frame-ranking theorem</w:t>
      </w:r>
    </w:p>
    <w:p>
      <w:pPr>
        <w:pStyle w:val="FirstParagraph"/>
      </w:pPr>
      <w:r>
        <w:rPr>
          <w:b/>
          <w:bCs/>
        </w:rPr>
        <w:t xml:space="preserve">Proposition 6.</w:t>
      </w:r>
      <w:r>
        <w:t xml:space="preserve"> </w:t>
      </w:r>
      <w:r>
        <w:t xml:space="preserve">For</w:t>
      </w:r>
      <w:r>
        <w:t xml:space="preserve"> </w:t>
      </w:r>
      <m:oMath>
        <m:sSub>
          <m:e>
            <m:r>
              <m:t>H</m:t>
            </m:r>
          </m:e>
          <m:sub>
            <m:r>
              <m:t>x</m:t>
            </m:r>
          </m:sub>
        </m:sSub>
        <m:r>
          <m:rPr>
            <m:sty m:val="p"/>
          </m:rPr>
          <m:t>=</m:t>
        </m:r>
        <m:sSub>
          <m:e>
            <m:r>
              <m:t>H</m:t>
            </m:r>
          </m:e>
          <m:sub>
            <m:r>
              <m:t>S</m:t>
            </m:r>
          </m:sub>
        </m:sSub>
        <m:r>
          <m:rPr>
            <m:sty m:val="p"/>
          </m:rPr>
          <m:t>+</m:t>
        </m:r>
        <m:sSub>
          <m:e>
            <m:r>
              <m:t>K</m:t>
            </m:r>
          </m:e>
          <m:sub>
            <m:r>
              <m:t>x</m:t>
            </m:r>
          </m:sub>
        </m:sSub>
      </m:oMath>
      <w:r>
        <w:t xml:space="preserve"> </w:t>
      </w:r>
      <w:r>
        <w:t xml:space="preserve">and the same initial conditional states, access and priors, let</w:t>
      </w:r>
      <w:r>
        <w:t xml:space="preserve"> </w:t>
      </w:r>
      <m:oMath>
        <m:sSubSup>
          <m:e>
            <m:r>
              <m:t>p</m:t>
            </m:r>
          </m:e>
          <m:sub>
            <m:r>
              <m:rPr>
                <m:sty m:val="p"/>
              </m:rPr>
              <m:t>e</m:t>
            </m:r>
            <m:r>
              <m:rPr>
                <m:sty m:val="p"/>
              </m:rPr>
              <m:t>r</m:t>
            </m:r>
            <m:r>
              <m:rPr>
                <m:sty m:val="p"/>
              </m:rPr>
              <m:t>r</m:t>
            </m:r>
          </m:sub>
          <m:sup>
            <m:r>
              <m:t>0</m:t>
            </m:r>
          </m:sup>
        </m:sSubSup>
        <m:r>
          <m:rPr>
            <m:sty m:val="p"/>
          </m:rPr>
          <m:t>(</m:t>
        </m:r>
        <m:r>
          <m:t>F</m:t>
        </m:r>
        <m:r>
          <m:rPr>
            <m:sty m:val="p"/>
          </m:rPr>
          <m:t>,</m:t>
        </m:r>
        <m:r>
          <m:t>t</m:t>
        </m:r>
        <m:r>
          <m:rPr>
            <m:sty m:val="p"/>
          </m:rPr>
          <m:t>)</m:t>
        </m:r>
      </m:oMath>
      <w:r>
        <w:t xml:space="preserve"> </w:t>
      </w:r>
      <w:r>
        <w:t xml:space="preserve">be the optimal error under</w:t>
      </w:r>
      <w:r>
        <w:t xml:space="preserve"> </w:t>
      </w:r>
      <m:oMath>
        <m:sSub>
          <m:e>
            <m:r>
              <m:t>K</m:t>
            </m:r>
          </m:e>
          <m:sub>
            <m:r>
              <m:t>x</m:t>
            </m:r>
          </m:sub>
        </m:sSub>
      </m:oMath>
      <w:r>
        <w:t xml:space="preserve"> </w:t>
      </w:r>
      <w:r>
        <w:t xml:space="preserve">alone. In finite dimension,</w:t>
      </w:r>
    </w:p>
    <w:p>
      <w:pPr>
        <w:pStyle w:val="BodyText"/>
      </w:pPr>
      <m:oMathPara>
        <m:oMathParaPr>
          <m:jc m:val="center"/>
        </m:oMathParaPr>
        <m:oMath>
          <m:r>
            <m:rPr>
              <m:sty m:val="p"/>
            </m:rPr>
            <m:t>∣</m:t>
          </m:r>
          <m:sSub>
            <m:e>
              <m:r>
                <m:t>p</m:t>
              </m:r>
            </m:e>
            <m:sub>
              <m:r>
                <m:rPr>
                  <m:sty m:val="p"/>
                </m:rPr>
                <m:t>e</m:t>
              </m:r>
              <m:r>
                <m:rPr>
                  <m:sty m:val="p"/>
                </m:rPr>
                <m:t>r</m:t>
              </m:r>
              <m:r>
                <m:rPr>
                  <m:sty m:val="p"/>
                </m:rPr>
                <m:t>r</m:t>
              </m:r>
            </m:sub>
          </m:sSub>
          <m:r>
            <m:rPr>
              <m:sty m:val="p"/>
            </m:rPr>
            <m:t>(</m:t>
          </m:r>
          <m:r>
            <m:t>F</m:t>
          </m:r>
          <m:r>
            <m:rPr>
              <m:sty m:val="p"/>
            </m:rPr>
            <m:t>,</m:t>
          </m:r>
          <m:r>
            <m:t>t</m:t>
          </m:r>
          <m:r>
            <m:rPr>
              <m:sty m:val="p"/>
            </m:rPr>
            <m:t>)</m:t>
          </m:r>
          <m:r>
            <m:rPr>
              <m:sty m:val="p"/>
            </m:rPr>
            <m:t>−</m:t>
          </m:r>
          <m:sSubSup>
            <m:e>
              <m:r>
                <m:t>p</m:t>
              </m:r>
            </m:e>
            <m:sub>
              <m:r>
                <m:rPr>
                  <m:sty m:val="p"/>
                </m:rPr>
                <m:t>e</m:t>
              </m:r>
              <m:r>
                <m:rPr>
                  <m:sty m:val="p"/>
                </m:rPr>
                <m:t>r</m:t>
              </m:r>
              <m:r>
                <m:rPr>
                  <m:sty m:val="p"/>
                </m:rPr>
                <m:t>r</m:t>
              </m:r>
            </m:sub>
            <m:sup>
              <m:r>
                <m:t>0</m:t>
              </m:r>
            </m:sup>
          </m:sSubSup>
          <m:r>
            <m:rPr>
              <m:sty m:val="p"/>
            </m:rPr>
            <m:t>(</m:t>
          </m:r>
          <m:r>
            <m:t>F</m:t>
          </m:r>
          <m:r>
            <m:rPr>
              <m:sty m:val="p"/>
            </m:rPr>
            <m:t>,</m:t>
          </m:r>
          <m:r>
            <m:t>t</m:t>
          </m:r>
          <m:r>
            <m:rPr>
              <m:sty m:val="p"/>
            </m:rPr>
            <m:t>)</m:t>
          </m:r>
          <m:r>
            <m:rPr>
              <m:sty m:val="p"/>
            </m:rPr>
            <m:t>∣</m:t>
          </m:r>
          <m:r>
            <m:rPr>
              <m:sty m:val="p"/>
            </m:rPr>
            <m:t>≤</m:t>
          </m:r>
          <m:r>
            <m:rPr>
              <m:sty m:val="p"/>
            </m:rPr>
            <m:t>∣</m:t>
          </m:r>
          <m:r>
            <m:t>t</m:t>
          </m:r>
          <m:r>
            <m:rPr>
              <m:sty m:val="p"/>
            </m:rPr>
            <m:t>∣</m:t>
          </m:r>
          <m:r>
            <m:t> </m:t>
          </m:r>
          <m:r>
            <m:t>ω</m:t>
          </m:r>
          <m:r>
            <m:rPr>
              <m:sty m:val="p"/>
            </m:rPr>
            <m:t>(</m:t>
          </m:r>
          <m:sSub>
            <m:e>
              <m:r>
                <m:t>H</m:t>
              </m:r>
            </m:e>
            <m:sub>
              <m:r>
                <m:t>S</m:t>
              </m:r>
            </m:sub>
          </m:sSub>
          <m:r>
            <m:rPr>
              <m:sty m:val="p"/>
            </m:rPr>
            <m:t>)</m:t>
          </m:r>
          <m:r>
            <m:rPr>
              <m:sty m:val="p"/>
            </m:rPr>
            <m:t>,</m:t>
          </m:r>
          <m:r>
            <m:t>  </m:t>
          </m:r>
          <m:r>
            <m:t>ω</m:t>
          </m:r>
          <m:r>
            <m:rPr>
              <m:sty m:val="p"/>
            </m:rPr>
            <m:t>(</m:t>
          </m:r>
          <m:sSub>
            <m:e>
              <m:r>
                <m:t>H</m:t>
              </m:r>
            </m:e>
            <m:sub>
              <m:r>
                <m:t>S</m:t>
              </m:r>
            </m:sub>
          </m:sSub>
          <m:r>
            <m:rPr>
              <m:sty m:val="p"/>
            </m:rPr>
            <m:t>)</m:t>
          </m:r>
          <m:r>
            <m:rPr>
              <m:sty m:val="p"/>
            </m:rPr>
            <m:t>=</m:t>
          </m:r>
          <m:limLow>
            <m:e>
              <m:r>
                <m:rPr>
                  <m:sty m:val="p"/>
                  <m:nor m:val="1"/>
                </m:rPr>
                <w:rPr>
                  <w:i w:val="0"/>
                </w:rPr>
                <m:t>inf</m:t>
              </m:r>
            </m:e>
            <m:lim>
              <m:r>
                <m:t>c</m:t>
              </m:r>
            </m:lim>
          </m:limLow>
          <m:r>
            <m:rPr>
              <m:sty m:val="p"/>
            </m:rPr>
            <m:t>∥</m:t>
          </m:r>
          <m:sSub>
            <m:e>
              <m:r>
                <m:t>H</m:t>
              </m:r>
            </m:e>
            <m:sub>
              <m:r>
                <m:t>S</m:t>
              </m:r>
            </m:sub>
          </m:sSub>
          <m:r>
            <m:rPr>
              <m:sty m:val="p"/>
            </m:rPr>
            <m:t>−</m:t>
          </m:r>
          <m:r>
            <m:t>c</m:t>
          </m:r>
          <m:r>
            <m:t>I</m:t>
          </m:r>
          <m:sSub>
            <m:e>
              <m:r>
                <m:rPr>
                  <m:sty m:val="p"/>
                </m:rPr>
                <m:t>∥</m:t>
              </m:r>
            </m:e>
            <m:sub>
              <m:r>
                <m:rPr>
                  <m:sty m:val="p"/>
                </m:rPr>
                <m:t>o</m:t>
              </m:r>
              <m:r>
                <m:rPr>
                  <m:sty m:val="p"/>
                </m:rPr>
                <m:t>p</m:t>
              </m:r>
            </m:sub>
          </m:sSub>
          <m:r>
            <m:rPr>
              <m:sty m:val="p"/>
            </m:rPr>
            <m:t>.</m:t>
          </m:r>
        </m:oMath>
      </m:oMathPara>
    </w:p>
    <w:p>
      <w:pPr>
        <w:pStyle w:val="FirstParagraph"/>
      </w:pPr>
      <w:r>
        <w:rPr>
          <w:b/>
          <w:bCs/>
        </w:rPr>
        <w:t xml:space="preserve">Proof.</w:t>
      </w:r>
      <w:r>
        <w:t xml:space="preserve"> </w:t>
      </w:r>
      <w:r>
        <w:t xml:space="preserve">Subtracting</w:t>
      </w:r>
      <w:r>
        <w:t xml:space="preserve"> </w:t>
      </w:r>
      <m:oMath>
        <m:r>
          <m:t>c</m:t>
        </m:r>
        <m:r>
          <m:t>I</m:t>
        </m:r>
      </m:oMath>
      <w:r>
        <w:t xml:space="preserve"> </w:t>
      </w:r>
      <w:r>
        <w:t xml:space="preserve">changes only a propagator phase. Duhamel’s formula bounds the operator-norm propagator difference by</w:t>
      </w:r>
      <w:r>
        <w:t xml:space="preserve"> </w:t>
      </w:r>
      <m:oMath>
        <m:r>
          <m:rPr>
            <m:sty m:val="p"/>
          </m:rPr>
          <m:t>∣</m:t>
        </m:r>
        <m:r>
          <m:t>t</m:t>
        </m:r>
        <m:r>
          <m:rPr>
            <m:sty m:val="p"/>
          </m:rPr>
          <m:t>∣</m:t>
        </m:r>
        <m:r>
          <m:rPr>
            <m:sty m:val="p"/>
          </m:rPr>
          <m:t>∥</m:t>
        </m:r>
        <m:sSub>
          <m:e>
            <m:r>
              <m:t>H</m:t>
            </m:r>
          </m:e>
          <m:sub>
            <m:r>
              <m:t>S</m:t>
            </m:r>
          </m:sub>
        </m:sSub>
        <m:r>
          <m:rPr>
            <m:sty m:val="p"/>
          </m:rPr>
          <m:t>−</m:t>
        </m:r>
        <m:r>
          <m:t>c</m:t>
        </m:r>
        <m:r>
          <m:t>I</m:t>
        </m:r>
        <m:r>
          <m:rPr>
            <m:sty m:val="p"/>
          </m:rPr>
          <m:t>∥</m:t>
        </m:r>
      </m:oMath>
      <w:r>
        <w:t xml:space="preserve">. The corresponding state difference is at most twice that value in trace norm. Reduce to the fragment and apply the weighted Helstrom reverse-triangle inequality. The factor one half cancels the factor two, and the priors sum to one. Minimize over</w:t>
      </w:r>
      <w:r>
        <w:t xml:space="preserve"> </w:t>
      </w:r>
      <m:oMath>
        <m:r>
          <m:t>c</m:t>
        </m:r>
      </m:oMath>
      <w:r>
        <w:t xml:space="preserve">.</w:t>
      </w:r>
      <w:r>
        <w:t xml:space="preserve"> </w:t>
      </w:r>
      <m:oMath>
        <m:r>
          <m:rPr>
            <m:sty m:val="p"/>
          </m:rPr>
          <m:t>▫</m:t>
        </m:r>
      </m:oMath>
    </w:p>
    <w:p>
      <w:pPr>
        <w:pStyle w:val="BodyText"/>
      </w:pPr>
      <w:r>
        <w:t xml:space="preserve">Thus the condition</w:t>
      </w:r>
      <w:r>
        <w:t xml:space="preserve"> </w:t>
      </w:r>
      <m:oMath>
        <m:sSubSup>
          <m:e>
            <m:r>
              <m:t>p</m:t>
            </m:r>
          </m:e>
          <m:sub>
            <m:r>
              <m:rPr>
                <m:sty m:val="p"/>
              </m:rPr>
              <m:t>e</m:t>
            </m:r>
            <m:r>
              <m:rPr>
                <m:sty m:val="p"/>
              </m:rPr>
              <m:t>r</m:t>
            </m:r>
            <m:r>
              <m:rPr>
                <m:sty m:val="p"/>
              </m:rPr>
              <m:t>r</m:t>
            </m:r>
          </m:sub>
          <m:sup>
            <m:r>
              <m:t>0</m:t>
            </m:r>
          </m:sup>
        </m:sSubSup>
        <m:r>
          <m:rPr>
            <m:sty m:val="p"/>
          </m:rPr>
          <m:t>(</m:t>
        </m:r>
        <m:r>
          <m:t>F</m:t>
        </m:r>
        <m:r>
          <m:rPr>
            <m:sty m:val="p"/>
          </m:rPr>
          <m:t>,</m:t>
        </m:r>
        <m:r>
          <m:t>t</m:t>
        </m:r>
        <m:r>
          <m:rPr>
            <m:sty m:val="p"/>
          </m:rPr>
          <m:t>)</m:t>
        </m:r>
        <m:r>
          <m:rPr>
            <m:sty m:val="p"/>
          </m:rPr>
          <m:t>+</m:t>
        </m:r>
        <m:r>
          <m:rPr>
            <m:sty m:val="p"/>
          </m:rPr>
          <m:t>∣</m:t>
        </m:r>
        <m:r>
          <m:t>t</m:t>
        </m:r>
        <m:r>
          <m:rPr>
            <m:sty m:val="p"/>
          </m:rPr>
          <m:t>∣</m:t>
        </m:r>
        <m:r>
          <m:t>ω</m:t>
        </m:r>
        <m:r>
          <m:rPr>
            <m:sty m:val="p"/>
          </m:rPr>
          <m:t>(</m:t>
        </m:r>
        <m:sSub>
          <m:e>
            <m:r>
              <m:t>H</m:t>
            </m:r>
          </m:e>
          <m:sub>
            <m:r>
              <m:t>S</m:t>
            </m:r>
          </m:sub>
        </m:sSub>
        <m:r>
          <m:rPr>
            <m:sty m:val="p"/>
          </m:rPr>
          <m:t>)</m:t>
        </m:r>
        <m:r>
          <m:rPr>
            <m:sty m:val="p"/>
          </m:rPr>
          <m:t>≤</m:t>
        </m:r>
        <m:r>
          <m:t>ε</m:t>
        </m:r>
      </m:oMath>
      <w:r>
        <w:t xml:space="preserve"> </w:t>
      </w:r>
      <w:r>
        <w:t xml:space="preserve">at every</w:t>
      </w:r>
      <w:r>
        <w:t xml:space="preserve"> </w:t>
      </w:r>
      <m:oMath>
        <m:r>
          <m:t>t</m:t>
        </m:r>
        <m:r>
          <m:rPr>
            <m:sty m:val="p"/>
          </m:rPr>
          <m:t>∈</m:t>
        </m:r>
        <m:sSub>
          <m:e>
            <m:r>
              <m:t>T</m:t>
            </m:r>
          </m:e>
          <m:sub>
            <m:r>
              <m:t>w</m:t>
            </m:r>
          </m:sub>
        </m:sSub>
      </m:oMath>
      <w:r>
        <w:t xml:space="preserve"> </w:t>
      </w:r>
      <w:r>
        <w:t xml:space="preserve">is a sufficient preservation certificate for that fragment. It proves neither that this frame minimizes locality nor that it maximizes redundant records, nor that a near-optimal overlap event must occur. Other frames and the full generator’s score still matter. Failure of the sufficient condition does not prove competition:</w:t>
      </w:r>
      <w:r>
        <w:t xml:space="preserve"> </w:t>
      </w:r>
      <m:oMath>
        <m:sSub>
          <m:e>
            <m:r>
              <m:t>H</m:t>
            </m:r>
          </m:e>
          <m:sub>
            <m:r>
              <m:t>S</m:t>
            </m:r>
          </m:sub>
        </m:sSub>
        <m:r>
          <m:rPr>
            <m:sty m:val="p"/>
          </m:rPr>
          <m:t>=</m:t>
        </m:r>
        <m:r>
          <m:t>100</m:t>
        </m:r>
        <m:r>
          <m:t>I</m:t>
        </m:r>
        <m:r>
          <m:rPr>
            <m:sty m:val="p"/>
          </m:rPr>
          <m:t>⊗</m:t>
        </m:r>
        <m:r>
          <m:t>Z</m:t>
        </m:r>
      </m:oMath>
      <w:r>
        <w:t xml:space="preserve"> </w:t>
      </w:r>
      <w:r>
        <w:t xml:space="preserve">can have a huge norm while leaving the first qubit’s records under</w:t>
      </w:r>
      <w:r>
        <w:t xml:space="preserve"> </w:t>
      </w:r>
      <m:oMath>
        <m:sSub>
          <m:e>
            <m:r>
              <m:t>K</m:t>
            </m:r>
          </m:e>
          <m:sub>
            <m:r>
              <m:t>x</m:t>
            </m:r>
          </m:sub>
        </m:sSub>
        <m:r>
          <m:rPr>
            <m:sty m:val="p"/>
          </m:rPr>
          <m:t>=</m:t>
        </m:r>
        <m:sSup>
          <m:e>
            <m:r>
              <m:rPr>
                <m:sty m:val="p"/>
              </m:rPr>
              <m:t>(</m:t>
            </m:r>
            <m:r>
              <m:rPr>
                <m:sty m:val="p"/>
              </m:rPr>
              <m:t>−</m:t>
            </m:r>
            <m:r>
              <m:t>1</m:t>
            </m:r>
            <m:r>
              <m:rPr>
                <m:sty m:val="p"/>
              </m:rPr>
              <m:t>)</m:t>
            </m:r>
          </m:e>
          <m:sup>
            <m:r>
              <m:t>x</m:t>
            </m:r>
          </m:sup>
        </m:sSup>
        <m:r>
          <m:t>X</m:t>
        </m:r>
        <m:r>
          <m:rPr>
            <m:sty m:val="p"/>
          </m:rPr>
          <m:t>⊗</m:t>
        </m:r>
        <m:r>
          <m:t>I</m:t>
        </m:r>
      </m:oMath>
      <w:r>
        <w:t xml:space="preserve"> </w:t>
      </w:r>
      <w:r>
        <w:t xml:space="preserve">unchanged. This exact spectator example is included in the new checks.</w:t>
      </w:r>
    </w:p>
    <w:p>
      <w:pPr>
        <w:pStyle w:val="BodyText"/>
      </w:pPr>
      <w:r>
        <w:t xml:space="preserve">Use certified cells as clearly labelled recording controls. Do not remove every norm-dominated cell or call every uncertified cell an informative test by default. A historical 9,000-case numerical check tests the perturbation inequality, not a stronger frame-ranking conclusion; its provenance is retained in the supplement.</w:t>
      </w:r>
    </w:p>
    <w:bookmarkEnd w:id="115"/>
    <w:bookmarkStart w:id="119" w:name="X451aaf3f576d59bacf0bb83a613f40191192ced"/>
    <w:p>
      <w:pPr>
        <w:pStyle w:val="Heading1"/>
        <w:keepNext/>
      </w:pPr>
      <w:r>
        <w:t xml:space="preserve">Appendix F. Adaptive selection within a predetermined family</w:t>
      </w:r>
    </w:p>
    <w:p>
      <w:pPr>
        <w:pStyle w:val="FirstParagraph"/>
      </w:pPr>
      <w:r>
        <w:rPr>
          <w:b/>
          <w:bCs/>
        </w:rPr>
        <w:t xml:space="preserve">Proposition 7 (conditional search-family bound).</w:t>
      </w:r>
      <w:r>
        <w:t xml:space="preserve"> </w:t>
      </w:r>
      <w:r>
        <w:t xml:space="preserve">Condition on design information</w:t>
      </w:r>
      <w:r>
        <w:t xml:space="preserve"> </w:t>
      </w:r>
      <m:oMath>
        <m:r>
          <m:t>Z</m:t>
        </m:r>
        <m:r>
          <m:rPr>
            <m:sty m:val="p"/>
          </m:rPr>
          <m:t>=</m:t>
        </m:r>
        <m:r>
          <m:t>z</m:t>
        </m:r>
      </m:oMath>
      <w:r>
        <w:t xml:space="preserve">. Let both pure branch states have Haar marginals in</w:t>
      </w:r>
      <w:r>
        <w:t xml:space="preserve"> </w:t>
      </w:r>
      <m:oMath>
        <m:sSup>
          <m:e>
            <m:r>
              <m:rPr>
                <m:sty m:val="p"/>
                <m:scr m:val="double-struck"/>
              </m:rPr>
              <m:t>C</m:t>
            </m:r>
          </m:e>
          <m:sup>
            <m:r>
              <m:t>d</m:t>
            </m:r>
          </m:sup>
        </m:sSup>
      </m:oMath>
      <w:r>
        <w:t xml:space="preserve">, without requiring joint independence. Fix a nonempty compact unitary family</w:t>
      </w:r>
      <w:r>
        <w:t xml:space="preserve"> </w:t>
      </w:r>
      <m:oMath>
        <m:sSub>
          <m:e>
            <m:r>
              <m:rPr>
                <m:sty m:val="p"/>
                <m:scr m:val="script"/>
              </m:rPr>
              <m:t>V</m:t>
            </m:r>
          </m:e>
          <m:sub>
            <m:r>
              <m:t>z</m:t>
            </m:r>
          </m:sub>
        </m:sSub>
      </m:oMath>
      <w:r>
        <w:t xml:space="preserve"> </w:t>
      </w:r>
      <w:r>
        <w:t xml:space="preserve">before the realized branch states, and let</w:t>
      </w:r>
      <w:r>
        <w:t xml:space="preserve"> </w:t>
      </w:r>
      <m:oMath>
        <m:sSub>
          <m:e>
            <m:r>
              <m:t>N</m:t>
            </m:r>
          </m:e>
          <m:sub>
            <m:r>
              <m:t>z</m:t>
            </m:r>
          </m:sub>
        </m:sSub>
        <m:r>
          <m:rPr>
            <m:sty m:val="p"/>
          </m:rPr>
          <m:t>(</m:t>
        </m:r>
        <m:r>
          <m:t>r</m:t>
        </m:r>
        <m:r>
          <m:rPr>
            <m:sty m:val="p"/>
          </m:rPr>
          <m:t>)</m:t>
        </m:r>
      </m:oMath>
      <w:r>
        <w:t xml:space="preserve"> </w:t>
      </w:r>
      <w:r>
        <w:t xml:space="preserve">be the size of an operator-norm</w:t>
      </w:r>
      <w:r>
        <w:t xml:space="preserve"> </w:t>
      </w:r>
      <m:oMath>
        <m:r>
          <m:t>r</m:t>
        </m:r>
      </m:oMath>
      <w:r>
        <w:t xml:space="preserve">-net whose centres lie in that family. Let</w:t>
      </w:r>
      <w:r>
        <w:t xml:space="preserve"> </w:t>
      </w:r>
      <m:oMath>
        <m:r>
          <m:t>0</m:t>
        </m:r>
        <m:r>
          <m:rPr>
            <m:sty m:val="p"/>
          </m:rPr>
          <m:t>≤</m:t>
        </m:r>
        <m:r>
          <m:t>ε</m:t>
        </m:r>
        <m:r>
          <m:rPr>
            <m:sty m:val="p"/>
          </m:rPr>
          <m:t>&lt;</m:t>
        </m:r>
        <m:r>
          <m:t>1</m:t>
        </m:r>
        <m:r>
          <m:rPr>
            <m:sty m:val="p"/>
          </m:rPr>
          <m:t>/</m:t>
        </m:r>
        <m:r>
          <m:t>2</m:t>
        </m:r>
      </m:oMath>
      <w:r>
        <w:t xml:space="preserve">,</w:t>
      </w:r>
      <w:r>
        <w:t xml:space="preserve"> </w:t>
      </w:r>
      <m:oMath>
        <m:r>
          <m:t>r</m:t>
        </m:r>
        <m:r>
          <m:rPr>
            <m:sty m:val="p"/>
          </m:rPr>
          <m:t>&gt;</m:t>
        </m:r>
        <m:r>
          <m:t>0</m:t>
        </m:r>
      </m:oMath>
      <w:r>
        <w:t xml:space="preserve">, and</w:t>
      </w:r>
      <w:r>
        <w:t xml:space="preserve"> </w:t>
      </w:r>
      <m:oMath>
        <m:r>
          <m:t>J</m:t>
        </m:r>
        <m:r>
          <m:rPr>
            <m:sty m:val="p"/>
          </m:rPr>
          <m:t>≥</m:t>
        </m:r>
        <m:r>
          <m:t>1</m:t>
        </m:r>
      </m:oMath>
      <w:r>
        <w:t xml:space="preserve"> </w:t>
      </w:r>
      <w:r>
        <w:t xml:space="preserve">declared fragment patterns all have dimension</w:t>
      </w:r>
      <w:r>
        <w:t xml:space="preserve"> </w:t>
      </w:r>
      <m:oMath>
        <m:sSub>
          <m:e>
            <m:r>
              <m:t>d</m:t>
            </m:r>
          </m:e>
          <m:sub>
            <m:r>
              <m:t>F</m:t>
            </m:r>
          </m:sub>
        </m:sSub>
        <m:r>
          <m:rPr>
            <m:sty m:val="p"/>
          </m:rPr>
          <m:t>≥</m:t>
        </m:r>
        <m:r>
          <m:t>2</m:t>
        </m:r>
      </m:oMath>
      <w:r>
        <w:t xml:space="preserve">, with</w:t>
      </w:r>
      <w:r>
        <w:t xml:space="preserve"> </w:t>
      </w:r>
      <m:oMath>
        <m:r>
          <m:t>d</m:t>
        </m:r>
        <m:r>
          <m:rPr>
            <m:sty m:val="p"/>
          </m:rPr>
          <m:t>=</m:t>
        </m:r>
        <m:sSub>
          <m:e>
            <m:r>
              <m:t>d</m:t>
            </m:r>
          </m:e>
          <m:sub>
            <m:r>
              <m:t>F</m:t>
            </m:r>
          </m:sub>
        </m:sSub>
        <m:sSub>
          <m:e>
            <m:r>
              <m:t>d</m:t>
            </m:r>
          </m:e>
          <m:sub>
            <m:r>
              <m:t>R</m:t>
            </m:r>
          </m:sub>
        </m:sSub>
      </m:oMath>
      <w:r>
        <w:t xml:space="preserve">. Put</w:t>
      </w:r>
    </w:p>
    <w:p>
      <w:pPr>
        <w:pStyle w:val="BodyText"/>
      </w:pPr>
      <m:oMathPara>
        <m:oMathParaPr>
          <m:jc m:val="center"/>
        </m:oMathParaPr>
        <m:oMath>
          <m:r>
            <m:t>b</m:t>
          </m:r>
          <m:r>
            <m:rPr>
              <m:sty m:val="p"/>
            </m:rPr>
            <m:t>=</m:t>
          </m:r>
          <m:rad>
            <m:radPr>
              <m:degHide m:val="on"/>
            </m:radPr>
            <m:deg/>
            <m:e>
              <m:f>
                <m:fPr>
                  <m:type m:val="bar"/>
                </m:fPr>
                <m:num>
                  <m:sSubSup>
                    <m:e>
                      <m:r>
                        <m:t>d</m:t>
                      </m:r>
                    </m:e>
                    <m:sub>
                      <m:r>
                        <m:t>F</m:t>
                      </m:r>
                    </m:sub>
                    <m:sup>
                      <m:r>
                        <m:t>2</m:t>
                      </m:r>
                    </m:sup>
                  </m:sSubSup>
                  <m:r>
                    <m:rPr>
                      <m:sty m:val="p"/>
                    </m:rPr>
                    <m:t>−</m:t>
                  </m:r>
                  <m:r>
                    <m:t>1</m:t>
                  </m:r>
                </m:num>
                <m:den>
                  <m:r>
                    <m:t>d</m:t>
                  </m:r>
                  <m:r>
                    <m:rPr>
                      <m:sty m:val="p"/>
                    </m:rPr>
                    <m:t>+</m:t>
                  </m:r>
                  <m:r>
                    <m:t>1</m:t>
                  </m:r>
                </m:den>
              </m:f>
            </m:e>
          </m:rad>
          <m:r>
            <m:rPr>
              <m:sty m:val="p"/>
            </m:rPr>
            <m:t>,</m:t>
          </m:r>
          <m:r>
            <m:t>  </m:t>
          </m:r>
          <m:sSub>
            <m:e>
              <m:r>
                <m:t>a</m:t>
              </m:r>
            </m:e>
            <m:sub>
              <m:r>
                <m:t>r</m:t>
              </m:r>
            </m:sub>
          </m:sSub>
          <m:r>
            <m:rPr>
              <m:sty m:val="p"/>
            </m:rPr>
            <m:t>=</m:t>
          </m:r>
          <m:r>
            <m:t>1</m:t>
          </m:r>
          <m:r>
            <m:rPr>
              <m:sty m:val="p"/>
            </m:rPr>
            <m:t>−</m:t>
          </m:r>
          <m:r>
            <m:t>2</m:t>
          </m:r>
          <m:r>
            <m:t>ε</m:t>
          </m:r>
          <m:r>
            <m:rPr>
              <m:sty m:val="p"/>
            </m:rPr>
            <m:t>−</m:t>
          </m:r>
          <m:r>
            <m:t>2</m:t>
          </m:r>
          <m:r>
            <m:t>r</m:t>
          </m:r>
          <m:r>
            <m:rPr>
              <m:sty m:val="p"/>
            </m:rPr>
            <m:t>−</m:t>
          </m:r>
          <m:r>
            <m:t>b</m:t>
          </m:r>
          <m:r>
            <m:rPr>
              <m:sty m:val="p"/>
            </m:rPr>
            <m:t>&gt;</m:t>
          </m:r>
          <m:r>
            <m:t>0</m:t>
          </m:r>
          <m:r>
            <m:rPr>
              <m:sty m:val="p"/>
            </m:rPr>
            <m:t>.</m:t>
          </m:r>
        </m:oMath>
      </m:oMathPara>
    </w:p>
    <w:p>
      <w:pPr>
        <w:pStyle w:val="FirstParagraph"/>
      </w:pPr>
      <w:r>
        <w:t xml:space="preserve">For equal priors at one specified time,</w:t>
      </w:r>
    </w:p>
    <w:p>
      <w:pPr>
        <w:pStyle w:val="BodyText"/>
      </w:pPr>
      <m:oMathPara>
        <m:oMathParaPr>
          <m:jc m:val="center"/>
        </m:oMathParaPr>
        <m:oMath>
          <m:r>
            <m:rPr>
              <m:sty m:val="p"/>
              <m:nor m:val="1"/>
            </m:rPr>
            <w:rPr>
              <w:i w:val="0"/>
            </w:rPr>
            <m:t>Pr</m:t>
          </m:r>
          <m:r>
            <m:rPr>
              <m:sty m:val="p"/>
            </m:rPr>
            <m:t>(</m:t>
          </m:r>
          <m:r>
            <m:rPr>
              <m:sty m:val="p"/>
            </m:rPr>
            <m:t>∃</m:t>
          </m:r>
          <m:r>
            <m:t>V</m:t>
          </m:r>
          <m:r>
            <m:rPr>
              <m:sty m:val="p"/>
            </m:rPr>
            <m:t>∈</m:t>
          </m:r>
          <m:sSub>
            <m:e>
              <m:r>
                <m:rPr>
                  <m:sty m:val="p"/>
                  <m:scr m:val="script"/>
                </m:rPr>
                <m:t>V</m:t>
              </m:r>
            </m:e>
            <m:sub>
              <m:r>
                <m:t>z</m:t>
              </m:r>
            </m:sub>
          </m:sSub>
          <m:r>
            <m:rPr>
              <m:sty m:val="p"/>
            </m:rPr>
            <m:t>,</m:t>
          </m:r>
          <m:r>
            <m:t>F</m:t>
          </m:r>
          <m:r>
            <m:rPr>
              <m:sty m:val="p"/>
            </m:rPr>
            <m:t>:</m:t>
          </m:r>
          <m:r>
            <m:t> </m:t>
          </m:r>
          <m:sSub>
            <m:e>
              <m:r>
                <m:t>p</m:t>
              </m:r>
            </m:e>
            <m:sub>
              <m:r>
                <m:rPr>
                  <m:sty m:val="p"/>
                </m:rPr>
                <m:t>e</m:t>
              </m:r>
              <m:r>
                <m:rPr>
                  <m:sty m:val="p"/>
                </m:rPr>
                <m:t>r</m:t>
              </m:r>
              <m:r>
                <m:rPr>
                  <m:sty m:val="p"/>
                </m:rPr>
                <m:t>r</m:t>
              </m:r>
            </m:sub>
          </m:sSub>
          <m:r>
            <m:rPr>
              <m:sty m:val="p"/>
            </m:rPr>
            <m:t>(</m:t>
          </m:r>
          <m:r>
            <m:t>F</m:t>
          </m:r>
          <m:r>
            <m:rPr>
              <m:sty m:val="p"/>
            </m:rPr>
            <m:t>,</m:t>
          </m:r>
          <m:r>
            <m:t>V</m:t>
          </m:r>
          <m:r>
            <m:rPr>
              <m:sty m:val="p"/>
            </m:rPr>
            <m:t>)</m:t>
          </m:r>
          <m:r>
            <m:rPr>
              <m:sty m:val="p"/>
            </m:rPr>
            <m:t>≤</m:t>
          </m:r>
          <m:r>
            <m:t>ε</m:t>
          </m:r>
          <m:r>
            <m:rPr>
              <m:sty m:val="p"/>
            </m:rPr>
            <m:t>∣</m:t>
          </m:r>
          <m:r>
            <m:t>Z</m:t>
          </m:r>
          <m:r>
            <m:rPr>
              <m:sty m:val="p"/>
            </m:rPr>
            <m:t>=</m:t>
          </m:r>
          <m:r>
            <m:t>z</m:t>
          </m:r>
          <m:r>
            <m:rPr>
              <m:sty m:val="p"/>
            </m:rPr>
            <m:t>)</m:t>
          </m:r>
          <m:r>
            <m:rPr>
              <m:sty m:val="p"/>
            </m:rPr>
            <m:t>≤</m:t>
          </m:r>
          <m:r>
            <m:rPr>
              <m:sty m:val="p"/>
              <m:nor m:val="1"/>
            </m:rPr>
            <w:rPr>
              <w:i w:val="0"/>
            </w:rPr>
            <m:t>min</m:t>
          </m:r>
          <m:r>
            <m:rPr>
              <m:sty m:val="p"/>
            </m:rPr>
            <m:t>{</m:t>
          </m:r>
          <m:r>
            <m:t>1</m:t>
          </m:r>
          <m:r>
            <m:rPr>
              <m:sty m:val="p"/>
            </m:rPr>
            <m:t>,</m:t>
          </m:r>
          <m:r>
            <m:t>4</m:t>
          </m:r>
          <m:r>
            <m:t>J</m:t>
          </m:r>
          <m:sSub>
            <m:e>
              <m:r>
                <m:t>N</m:t>
              </m:r>
            </m:e>
            <m:sub>
              <m:r>
                <m:t>z</m:t>
              </m:r>
            </m:sub>
          </m:sSub>
          <m:r>
            <m:rPr>
              <m:sty m:val="p"/>
            </m:rPr>
            <m:t>(</m:t>
          </m:r>
          <m:r>
            <m:t>r</m:t>
          </m:r>
          <m:r>
            <m:rPr>
              <m:sty m:val="p"/>
            </m:rPr>
            <m:t>)</m:t>
          </m:r>
          <m:r>
            <m:rPr>
              <m:sty m:val="p"/>
              <m:nor m:val="1"/>
            </m:rPr>
            <w:rPr>
              <w:i w:val="0"/>
            </w:rPr>
            <m:t>exp</m:t>
          </m:r>
          <m:r>
            <m:rPr>
              <m:sty m:val="p"/>
            </m:rPr>
            <m:t>[</m:t>
          </m:r>
          <m:r>
            <m:rPr>
              <m:sty m:val="p"/>
            </m:rPr>
            <m:t>−</m:t>
          </m:r>
          <m:f>
            <m:fPr>
              <m:type m:val="bar"/>
            </m:fPr>
            <m:num>
              <m:r>
                <m:t>d</m:t>
              </m:r>
              <m:sSubSup>
                <m:e>
                  <m:r>
                    <m:t>a</m:t>
                  </m:r>
                </m:e>
                <m:sub>
                  <m:r>
                    <m:t>r</m:t>
                  </m:r>
                </m:sub>
                <m:sup>
                  <m:r>
                    <m:t>2</m:t>
                  </m:r>
                </m:sup>
              </m:sSubSup>
            </m:num>
            <m:den>
              <m:r>
                <m:t>18</m:t>
              </m:r>
              <m:sSup>
                <m:e>
                  <m:r>
                    <m:t>π</m:t>
                  </m:r>
                </m:e>
                <m:sup>
                  <m:r>
                    <m:t>3</m:t>
                  </m:r>
                </m:sup>
              </m:sSup>
            </m:den>
          </m:f>
          <m:r>
            <m:rPr>
              <m:sty m:val="p"/>
            </m:rPr>
            <m:t>]</m:t>
          </m:r>
          <m:r>
            <m:rPr>
              <m:sty m:val="p"/>
            </m:rPr>
            <m:t>}</m:t>
          </m:r>
          <m:r>
            <m:rPr>
              <m:sty m:val="p"/>
            </m:rPr>
            <m:t>.</m:t>
          </m:r>
        </m:oMath>
      </m:oMathPara>
    </w:p>
    <w:p>
      <w:pPr>
        <w:pStyle w:val="FirstParagraph"/>
      </w:pPr>
      <w:r>
        <w:t xml:space="preserve">An algorithm may choose its output adaptively from</w:t>
      </w:r>
      <w:r>
        <w:t xml:space="preserve"> </w:t>
      </w:r>
      <m:oMath>
        <m:sSub>
          <m:e>
            <m:r>
              <m:rPr>
                <m:sty m:val="p"/>
                <m:scr m:val="script"/>
              </m:rPr>
              <m:t>V</m:t>
            </m:r>
          </m:e>
          <m:sub>
            <m:r>
              <m:t>z</m:t>
            </m:r>
          </m:sub>
        </m:sSub>
      </m:oMath>
      <w:r>
        <w:t xml:space="preserve">; the family itself may not be expanded in response to the realized states without accounting for that expansion. With unequal fragment dimensions use the largest</w:t>
      </w:r>
      <w:r>
        <w:t xml:space="preserve"> </w:t>
      </w:r>
      <m:oMath>
        <m:r>
          <m:t>b</m:t>
        </m:r>
      </m:oMath>
      <w:r>
        <w:t xml:space="preserve"> </w:t>
      </w:r>
      <w:r>
        <w:t xml:space="preserve">or sum the individual bounds.</w:t>
      </w:r>
    </w:p>
    <w:p>
      <w:pPr>
        <w:pStyle w:val="BodyText"/>
      </w:pPr>
      <w:r>
        <w:rPr>
          <w:b/>
          <w:bCs/>
        </w:rPr>
        <w:t xml:space="preserve">Proof.</w:t>
      </w:r>
      <w:r>
        <w:t xml:space="preserve"> </w:t>
      </w:r>
      <w:r>
        <w:t xml:space="preserve">For normalized vectors,</w:t>
      </w:r>
      <w:r>
        <w:t xml:space="preserve"> </w:t>
      </w:r>
      <m:oMath>
        <m:r>
          <m:t>f</m:t>
        </m:r>
        <m:r>
          <m:rPr>
            <m:sty m:val="p"/>
          </m:rPr>
          <m:t>(</m:t>
        </m:r>
        <m:r>
          <m:t>ψ</m:t>
        </m:r>
        <m:r>
          <m:rPr>
            <m:sty m:val="p"/>
          </m:rPr>
          <m:t>)</m:t>
        </m:r>
        <m:r>
          <m:rPr>
            <m:sty m:val="p"/>
          </m:rPr>
          <m:t>=</m:t>
        </m:r>
        <m:r>
          <m:rPr>
            <m:sty m:val="p"/>
          </m:rPr>
          <m:t>∥</m:t>
        </m:r>
        <m:sSub>
          <m:e>
            <m:r>
              <m:rPr>
                <m:sty m:val="p"/>
                <m:nor m:val="1"/>
              </m:rPr>
              <w:rPr>
                <w:i w:val="0"/>
              </w:rPr>
              <m:t>Tr</m:t>
            </m:r>
          </m:e>
          <m:sub>
            <m:acc>
              <m:accPr>
                <m:chr m:val="‾"/>
              </m:accPr>
              <m:e>
                <m:r>
                  <m:t>F</m:t>
                </m:r>
              </m:e>
            </m:acc>
          </m:sub>
        </m:sSub>
        <m:r>
          <m:rPr>
            <m:sty m:val="p"/>
          </m:rPr>
          <m:t>∣</m:t>
        </m:r>
        <m:r>
          <m:t>ψ</m:t>
        </m:r>
        <m:r>
          <m:rPr>
            <m:sty m:val="p"/>
          </m:rPr>
          <m:t>⟩</m:t>
        </m:r>
        <m:r>
          <m:rPr>
            <m:sty m:val="p"/>
          </m:rPr>
          <m:t>⟨</m:t>
        </m:r>
        <m:r>
          <m:t>ψ</m:t>
        </m:r>
        <m:r>
          <m:rPr>
            <m:sty m:val="p"/>
          </m:rPr>
          <m:t>∣</m:t>
        </m:r>
        <m:r>
          <m:rPr>
            <m:sty m:val="p"/>
          </m:rPr>
          <m:t>−</m:t>
        </m:r>
        <m:r>
          <m:t>I</m:t>
        </m:r>
        <m:r>
          <m:rPr>
            <m:sty m:val="p"/>
          </m:rPr>
          <m:t>/</m:t>
        </m:r>
        <m:sSub>
          <m:e>
            <m:r>
              <m:t>d</m:t>
            </m:r>
          </m:e>
          <m:sub>
            <m:r>
              <m:t>F</m:t>
            </m:r>
          </m:sub>
        </m:sSub>
        <m:sSub>
          <m:e>
            <m:r>
              <m:rPr>
                <m:sty m:val="p"/>
              </m:rPr>
              <m:t>∥</m:t>
            </m:r>
          </m:e>
          <m:sub>
            <m:r>
              <m:t>1</m:t>
            </m:r>
          </m:sub>
        </m:sSub>
      </m:oMath>
      <w:r>
        <w:t xml:space="preserve"> </w:t>
      </w:r>
      <w:r>
        <w:t xml:space="preserve">is at most 2-Lipschitz on the unit sphere. Proposition 3 gives</w:t>
      </w:r>
      <w:r>
        <w:t xml:space="preserve"> </w:t>
      </w:r>
      <m:oMath>
        <m:sSub>
          <m:e>
            <m:r>
              <m:rPr>
                <m:sty m:val="p"/>
                <m:scr m:val="double-struck"/>
              </m:rPr>
              <m:t>E</m:t>
            </m:r>
          </m:e>
          <m:sub>
            <m:r>
              <m:t>z</m:t>
            </m:r>
          </m:sub>
        </m:sSub>
        <m:r>
          <m:t>f</m:t>
        </m:r>
        <m:r>
          <m:rPr>
            <m:sty m:val="p"/>
          </m:rPr>
          <m:t>≤</m:t>
        </m:r>
        <m:r>
          <m:t>b</m:t>
        </m:r>
      </m:oMath>
      <w:r>
        <w:t xml:space="preserve">. The explicit version of Levy concentration in Popescu, Short and Winter (2006), Lemma 3 and Eqs. 20 to 22, gives</w:t>
      </w:r>
      <w:r>
        <w:t xml:space="preserve"> </w:t>
      </w:r>
      <m:oMath>
        <m:r>
          <m:rPr>
            <m:sty m:val="p"/>
            <m:nor m:val="1"/>
          </m:rPr>
          <w:rPr>
            <w:i w:val="0"/>
          </w:rPr>
          <m:t>Pr</m:t>
        </m:r>
        <m:r>
          <m:rPr>
            <m:sty m:val="p"/>
          </m:rPr>
          <m:t>(</m:t>
        </m:r>
        <m:r>
          <m:t>f</m:t>
        </m:r>
        <m:r>
          <m:rPr>
            <m:sty m:val="p"/>
          </m:rPr>
          <m:t>≥</m:t>
        </m:r>
        <m:r>
          <m:t>b</m:t>
        </m:r>
        <m:r>
          <m:rPr>
            <m:sty m:val="p"/>
          </m:rPr>
          <m:t>+</m:t>
        </m:r>
        <m:r>
          <m:t>a</m:t>
        </m:r>
        <m:r>
          <m:rPr>
            <m:sty m:val="p"/>
          </m:rPr>
          <m:t>)</m:t>
        </m:r>
        <m:r>
          <m:rPr>
            <m:sty m:val="p"/>
          </m:rPr>
          <m:t>≤</m:t>
        </m:r>
        <m:r>
          <m:t>2</m:t>
        </m:r>
        <m:r>
          <m:rPr>
            <m:sty m:val="p"/>
            <m:nor m:val="1"/>
          </m:rPr>
          <w:rPr>
            <w:i w:val="0"/>
          </w:rPr>
          <m:t>exp</m:t>
        </m:r>
        <m:r>
          <m:rPr>
            <m:sty m:val="p"/>
          </m:rPr>
          <m:t>[</m:t>
        </m:r>
        <m:r>
          <m:rPr>
            <m:sty m:val="p"/>
          </m:rPr>
          <m:t>−</m:t>
        </m:r>
        <m:r>
          <m:t>d</m:t>
        </m:r>
        <m:sSup>
          <m:e>
            <m:r>
              <m:t>a</m:t>
            </m:r>
          </m:e>
          <m:sup>
            <m:r>
              <m:t>2</m:t>
            </m:r>
          </m:sup>
        </m:sSup>
        <m:r>
          <m:rPr>
            <m:sty m:val="p"/>
          </m:rPr>
          <m:t>/</m:t>
        </m:r>
        <m:r>
          <m:rPr>
            <m:sty m:val="p"/>
          </m:rPr>
          <m:t>(</m:t>
        </m:r>
        <m:r>
          <m:t>18</m:t>
        </m:r>
        <m:sSup>
          <m:e>
            <m:r>
              <m:t>π</m:t>
            </m:r>
          </m:e>
          <m:sup>
            <m:r>
              <m:t>3</m:t>
            </m:r>
          </m:sup>
        </m:sSup>
        <m:r>
          <m:rPr>
            <m:sty m:val="p"/>
          </m:rPr>
          <m:t>)</m:t>
        </m:r>
        <m:r>
          <m:rPr>
            <m:sty m:val="p"/>
          </m:rPr>
          <m:t>]</m:t>
        </m:r>
      </m:oMath>
      <w:r>
        <w:t xml:space="preserve"> </w:t>
      </w:r>
      <w:r>
        <w:t xml:space="preserve">for</w:t>
      </w:r>
      <w:r>
        <w:t xml:space="preserve"> </w:t>
      </w:r>
      <m:oMath>
        <m:r>
          <m:t>a</m:t>
        </m:r>
        <m:r>
          <m:rPr>
            <m:sty m:val="p"/>
          </m:rPr>
          <m:t>&gt;</m:t>
        </m:r>
        <m:r>
          <m:t>0</m:t>
        </m:r>
      </m:oMath>
      <w:r>
        <w:t xml:space="preserve">. This constant uses real sphere dimension</w:t>
      </w:r>
      <w:r>
        <w:t xml:space="preserve"> </w:t>
      </w:r>
      <m:oMath>
        <m:r>
          <m:t>2</m:t>
        </m:r>
        <m:r>
          <m:t>d</m:t>
        </m:r>
        <m:r>
          <m:rPr>
            <m:sty m:val="p"/>
          </m:rPr>
          <m:t>−</m:t>
        </m:r>
        <m:r>
          <m:t>1</m:t>
        </m:r>
      </m:oMath>
      <w:r>
        <w:t xml:space="preserve"> </w:t>
      </w:r>
      <w:r>
        <w:t xml:space="preserve">and the Lipschitz bound two.</w:t>
      </w:r>
    </w:p>
    <w:p>
      <w:pPr>
        <w:pStyle w:val="BodyText"/>
      </w:pPr>
      <w:r>
        <w:t xml:space="preserve">For fixed conditional states,</w:t>
      </w:r>
      <w:r>
        <w:t xml:space="preserve"> </w:t>
      </w:r>
      <m:oMath>
        <m:r>
          <m:rPr>
            <m:sty m:val="p"/>
          </m:rPr>
          <m:t>∣</m:t>
        </m:r>
        <m:sSub>
          <m:e>
            <m:r>
              <m:t>p</m:t>
            </m:r>
          </m:e>
          <m:sub>
            <m:r>
              <m:rPr>
                <m:sty m:val="p"/>
              </m:rPr>
              <m:t>e</m:t>
            </m:r>
            <m:r>
              <m:rPr>
                <m:sty m:val="p"/>
              </m:rPr>
              <m:t>r</m:t>
            </m:r>
            <m:r>
              <m:rPr>
                <m:sty m:val="p"/>
              </m:rPr>
              <m:t>r</m:t>
            </m:r>
          </m:sub>
        </m:sSub>
        <m:r>
          <m:rPr>
            <m:sty m:val="p"/>
          </m:rPr>
          <m:t>(</m:t>
        </m:r>
        <m:r>
          <m:t>F</m:t>
        </m:r>
        <m:r>
          <m:rPr>
            <m:sty m:val="p"/>
          </m:rPr>
          <m:t>,</m:t>
        </m:r>
        <m:r>
          <m:t>V</m:t>
        </m:r>
        <m:r>
          <m:rPr>
            <m:sty m:val="p"/>
          </m:rPr>
          <m:t>)</m:t>
        </m:r>
        <m:r>
          <m:rPr>
            <m:sty m:val="p"/>
          </m:rPr>
          <m:t>−</m:t>
        </m:r>
        <m:sSub>
          <m:e>
            <m:r>
              <m:t>p</m:t>
            </m:r>
          </m:e>
          <m:sub>
            <m:r>
              <m:rPr>
                <m:sty m:val="p"/>
              </m:rPr>
              <m:t>e</m:t>
            </m:r>
            <m:r>
              <m:rPr>
                <m:sty m:val="p"/>
              </m:rPr>
              <m:t>r</m:t>
            </m:r>
            <m:r>
              <m:rPr>
                <m:sty m:val="p"/>
              </m:rPr>
              <m:t>r</m:t>
            </m:r>
          </m:sub>
        </m:sSub>
        <m:r>
          <m:rPr>
            <m:sty m:val="p"/>
          </m:rPr>
          <m:t>(</m:t>
        </m:r>
        <m:r>
          <m:t>F</m:t>
        </m:r>
        <m:r>
          <m:rPr>
            <m:sty m:val="p"/>
          </m:rPr>
          <m:t>,</m:t>
        </m:r>
        <m:r>
          <m:t>W</m:t>
        </m:r>
        <m:r>
          <m:rPr>
            <m:sty m:val="p"/>
          </m:rPr>
          <m:t>)</m:t>
        </m:r>
        <m:r>
          <m:rPr>
            <m:sty m:val="p"/>
          </m:rPr>
          <m:t>∣</m:t>
        </m:r>
        <m:r>
          <m:rPr>
            <m:sty m:val="p"/>
          </m:rPr>
          <m:t>≤</m:t>
        </m:r>
        <m:r>
          <m:rPr>
            <m:sty m:val="p"/>
          </m:rPr>
          <m:t>∥</m:t>
        </m:r>
        <m:r>
          <m:t>V</m:t>
        </m:r>
        <m:r>
          <m:rPr>
            <m:sty m:val="p"/>
          </m:rPr>
          <m:t>−</m:t>
        </m:r>
        <m:r>
          <m:t>W</m:t>
        </m:r>
        <m:sSub>
          <m:e>
            <m:r>
              <m:rPr>
                <m:sty m:val="p"/>
              </m:rPr>
              <m:t>∥</m:t>
            </m:r>
          </m:e>
          <m:sub>
            <m:r>
              <m:rPr>
                <m:sty m:val="p"/>
              </m:rPr>
              <m:t>o</m:t>
            </m:r>
            <m:r>
              <m:rPr>
                <m:sty m:val="p"/>
              </m:rPr>
              <m:t>p</m:t>
            </m:r>
          </m:sub>
        </m:sSub>
      </m:oMath>
      <w:r>
        <w:t xml:space="preserve">: each branch density matrix changes by at most</w:t>
      </w:r>
      <w:r>
        <w:t xml:space="preserve"> </w:t>
      </w:r>
      <m:oMath>
        <m:r>
          <m:t>2</m:t>
        </m:r>
        <m:r>
          <m:rPr>
            <m:sty m:val="p"/>
          </m:rPr>
          <m:t>∥</m:t>
        </m:r>
        <m:r>
          <m:t>V</m:t>
        </m:r>
        <m:r>
          <m:rPr>
            <m:sty m:val="p"/>
          </m:rPr>
          <m:t>−</m:t>
        </m:r>
        <m:r>
          <m:t>W</m:t>
        </m:r>
        <m:sSub>
          <m:e>
            <m:r>
              <m:rPr>
                <m:sty m:val="p"/>
              </m:rPr>
              <m:t>∥</m:t>
            </m:r>
          </m:e>
          <m:sub>
            <m:r>
              <m:rPr>
                <m:sty m:val="p"/>
              </m:rPr>
              <m:t>o</m:t>
            </m:r>
            <m:r>
              <m:rPr>
                <m:sty m:val="p"/>
              </m:rPr>
              <m:t>p</m:t>
            </m:r>
          </m:sub>
        </m:sSub>
      </m:oMath>
      <w:r>
        <w:t xml:space="preserve"> </w:t>
      </w:r>
      <w:r>
        <w:t xml:space="preserve">in trace norm, and the two branches enter with coefficient one quarter. Therefore a qualifying</w:t>
      </w:r>
      <w:r>
        <w:t xml:space="preserve"> </w:t>
      </w:r>
      <m:oMath>
        <m:r>
          <m:t>V</m:t>
        </m:r>
      </m:oMath>
      <w:r>
        <w:t xml:space="preserve"> </w:t>
      </w:r>
      <w:r>
        <w:t xml:space="preserve">implies a net centre</w:t>
      </w:r>
      <w:r>
        <w:t xml:space="preserve"> </w:t>
      </w:r>
      <m:oMath>
        <m:r>
          <m:t>W</m:t>
        </m:r>
      </m:oMath>
      <w:r>
        <w:t xml:space="preserve"> </w:t>
      </w:r>
      <w:r>
        <w:t xml:space="preserve">with error at most</w:t>
      </w:r>
      <w:r>
        <w:t xml:space="preserve"> </w:t>
      </w:r>
      <m:oMath>
        <m:r>
          <m:t>ε</m:t>
        </m:r>
        <m:r>
          <m:rPr>
            <m:sty m:val="p"/>
          </m:rPr>
          <m:t>+</m:t>
        </m:r>
        <m:r>
          <m:t>r</m:t>
        </m:r>
      </m:oMath>
      <w:r>
        <w:t xml:space="preserve">. At that centre the triangle bound requires at least one branch deviation</w:t>
      </w:r>
      <w:r>
        <w:t xml:space="preserve"> </w:t>
      </w:r>
      <m:oMath>
        <m:sSub>
          <m:e>
            <m:r>
              <m:t>f</m:t>
            </m:r>
          </m:e>
          <m:sub>
            <m:r>
              <m:t>x</m:t>
            </m:r>
          </m:sub>
        </m:sSub>
        <m:r>
          <m:rPr>
            <m:sty m:val="p"/>
          </m:rPr>
          <m:t>≥</m:t>
        </m:r>
        <m:r>
          <m:t>1</m:t>
        </m:r>
        <m:r>
          <m:rPr>
            <m:sty m:val="p"/>
          </m:rPr>
          <m:t>−</m:t>
        </m:r>
        <m:r>
          <m:t>2</m:t>
        </m:r>
        <m:r>
          <m:t>ε</m:t>
        </m:r>
        <m:r>
          <m:rPr>
            <m:sty m:val="p"/>
          </m:rPr>
          <m:t>−</m:t>
        </m:r>
        <m:r>
          <m:t>2</m:t>
        </m:r>
        <m:r>
          <m:t>r</m:t>
        </m:r>
        <m:r>
          <m:rPr>
            <m:sty m:val="p"/>
          </m:rPr>
          <m:t>=</m:t>
        </m:r>
        <m:r>
          <m:t>b</m:t>
        </m:r>
        <m:r>
          <m:rPr>
            <m:sty m:val="p"/>
          </m:rPr>
          <m:t>+</m:t>
        </m:r>
        <m:sSub>
          <m:e>
            <m:r>
              <m:t>a</m:t>
            </m:r>
          </m:e>
          <m:sub>
            <m:r>
              <m:t>r</m:t>
            </m:r>
          </m:sub>
        </m:sSub>
      </m:oMath>
      <w:r>
        <w:t xml:space="preserve">. Union over two branches,</w:t>
      </w:r>
      <w:r>
        <w:t xml:space="preserve"> </w:t>
      </w:r>
      <m:oMath>
        <m:r>
          <m:t>J</m:t>
        </m:r>
      </m:oMath>
      <w:r>
        <w:t xml:space="preserve"> </w:t>
      </w:r>
      <w:r>
        <w:t xml:space="preserve">fragments and</w:t>
      </w:r>
      <w:r>
        <w:t xml:space="preserve"> </w:t>
      </w:r>
      <m:oMath>
        <m:sSub>
          <m:e>
            <m:r>
              <m:t>N</m:t>
            </m:r>
          </m:e>
          <m:sub>
            <m:r>
              <m:t>z</m:t>
            </m:r>
          </m:sub>
        </m:sSub>
        <m:r>
          <m:rPr>
            <m:sty m:val="p"/>
          </m:rPr>
          <m:t>(</m:t>
        </m:r>
        <m:r>
          <m:t>r</m:t>
        </m:r>
        <m:r>
          <m:rPr>
            <m:sty m:val="p"/>
          </m:rPr>
          <m:t>)</m:t>
        </m:r>
      </m:oMath>
      <w:r>
        <w:t xml:space="preserve"> </w:t>
      </w:r>
      <w:r>
        <w:t xml:space="preserve">centres gives the result. Only marginal Haar concentration is used.</w:t>
      </w:r>
      <w:r>
        <w:t xml:space="preserve"> </w:t>
      </w:r>
      <m:oMath>
        <m:r>
          <m:rPr>
            <m:sty m:val="p"/>
          </m:rPr>
          <m:t>▫</m:t>
        </m:r>
      </m:oMath>
    </w:p>
    <w:p>
      <w:pPr>
        <w:pStyle w:val="BodyText"/>
      </w:pPr>
      <w:r>
        <w:rPr>
          <w:b/>
          <w:bCs/>
        </w:rPr>
        <w:t xml:space="preserve">Circuit corollary.</w:t>
      </w:r>
      <w:r>
        <w:t xml:space="preserve"> </w:t>
      </w:r>
      <w:r>
        <w:t xml:space="preserve">For a fixed ordered product of</w:t>
      </w:r>
      <w:r>
        <w:t xml:space="preserve"> </w:t>
      </w:r>
      <m:oMath>
        <m:r>
          <m:t>P</m:t>
        </m:r>
      </m:oMath>
      <w:r>
        <w:t xml:space="preserve"> </w:t>
      </w:r>
      <w:r>
        <w:t xml:space="preserve">gates</w:t>
      </w:r>
      <w:r>
        <w:t xml:space="preserve"> </w:t>
      </w:r>
      <m:oMath>
        <m:sSup>
          <m:e>
            <m:r>
              <m:t>e</m:t>
            </m:r>
          </m:e>
          <m:sup>
            <m:r>
              <m:rPr>
                <m:sty m:val="p"/>
              </m:rPr>
              <m:t>−</m:t>
            </m:r>
            <m:r>
              <m:t>i</m:t>
            </m:r>
            <m:sSub>
              <m:e>
                <m:r>
                  <m:t>θ</m:t>
                </m:r>
              </m:e>
              <m:sub>
                <m:r>
                  <m:t>j</m:t>
                </m:r>
              </m:sub>
            </m:sSub>
            <m:sSub>
              <m:e>
                <m:r>
                  <m:t>A</m:t>
                </m:r>
              </m:e>
              <m:sub>
                <m:r>
                  <m:t>j</m:t>
                </m:r>
              </m:sub>
            </m:sSub>
          </m:sup>
        </m:sSup>
      </m:oMath>
      <w:r>
        <w:t xml:space="preserve">, with fixed Hermitian generators</w:t>
      </w:r>
      <w:r>
        <w:t xml:space="preserve"> </w:t>
      </w:r>
      <m:oMath>
        <m:r>
          <m:rPr>
            <m:sty m:val="p"/>
          </m:rPr>
          <m:t>∥</m:t>
        </m:r>
        <m:sSub>
          <m:e>
            <m:r>
              <m:t>A</m:t>
            </m:r>
          </m:e>
          <m:sub>
            <m:r>
              <m:t>j</m:t>
            </m:r>
          </m:sub>
        </m:sSub>
        <m:sSub>
          <m:e>
            <m:r>
              <m:rPr>
                <m:sty m:val="p"/>
              </m:rPr>
              <m:t>∥</m:t>
            </m:r>
          </m:e>
          <m:sub>
            <m:r>
              <m:rPr>
                <m:sty m:val="p"/>
              </m:rPr>
              <m:t>o</m:t>
            </m:r>
            <m:r>
              <m:rPr>
                <m:sty m:val="p"/>
              </m:rPr>
              <m:t>p</m:t>
            </m:r>
          </m:sub>
        </m:sSub>
        <m:r>
          <m:rPr>
            <m:sty m:val="p"/>
          </m:rPr>
          <m:t>≤</m:t>
        </m:r>
        <m:r>
          <m:t>1</m:t>
        </m:r>
      </m:oMath>
      <w:r>
        <w:t xml:space="preserve"> </w:t>
      </w:r>
      <w:r>
        <w:t xml:space="preserve">and</w:t>
      </w:r>
      <w:r>
        <w:t xml:space="preserve"> </w:t>
      </w:r>
      <m:oMath>
        <m:sSub>
          <m:e>
            <m:r>
              <m:t>θ</m:t>
            </m:r>
          </m:e>
          <m:sub>
            <m:r>
              <m:t>j</m:t>
            </m:r>
          </m:sub>
        </m:sSub>
        <m:r>
          <m:rPr>
            <m:sty m:val="p"/>
          </m:rPr>
          <m:t>∈</m:t>
        </m:r>
        <m:r>
          <m:rPr>
            <m:sty m:val="p"/>
          </m:rPr>
          <m:t>[</m:t>
        </m:r>
        <m:r>
          <m:rPr>
            <m:sty m:val="p"/>
          </m:rPr>
          <m:t>−</m:t>
        </m:r>
        <m:r>
          <m:t>Θ</m:t>
        </m:r>
        <m:r>
          <m:rPr>
            <m:sty m:val="p"/>
          </m:rPr>
          <m:t>,</m:t>
        </m:r>
        <m:r>
          <m:t>Θ</m:t>
        </m:r>
        <m:r>
          <m:rPr>
            <m:sty m:val="p"/>
          </m:rPr>
          <m:t>]</m:t>
        </m:r>
      </m:oMath>
      <w:r>
        <w:t xml:space="preserve">, telescoping bounds unitary distance by</w:t>
      </w:r>
      <w:r>
        <w:t xml:space="preserve"> </w:t>
      </w:r>
      <m:oMath>
        <m:nary>
          <m:naryPr>
            <m:chr m:val="∑"/>
            <m:limLoc m:val="undOvr"/>
            <m:subHide m:val="off"/>
            <m:supHide m:val="on"/>
          </m:naryPr>
          <m:sub>
            <m:r>
              <m:t>j</m:t>
            </m:r>
          </m:sub>
          <m:sup>
            <m:r>
              <m:t>​</m:t>
            </m:r>
          </m:sup>
          <m:e>
            <m:r>
              <m:rPr>
                <m:sty m:val="p"/>
              </m:rPr>
              <m:t>∣</m:t>
            </m:r>
            <m:sSub>
              <m:e>
                <m:r>
                  <m:t>θ</m:t>
                </m:r>
              </m:e>
              <m:sub>
                <m:r>
                  <m:t>j</m:t>
                </m:r>
              </m:sub>
            </m:sSub>
            <m:r>
              <m:rPr>
                <m:sty m:val="p"/>
              </m:rPr>
              <m:t>−</m:t>
            </m:r>
            <m:r>
              <m:t>θ</m:t>
            </m:r>
            <m:sSub>
              <m:e>
                <m:r>
                  <m:rPr>
                    <m:sty m:val="p"/>
                  </m:rPr>
                  <m:t>′</m:t>
                </m:r>
              </m:e>
              <m:sub>
                <m:r>
                  <m:t>j</m:t>
                </m:r>
              </m:sub>
            </m:sSub>
            <m:r>
              <m:rPr>
                <m:sty m:val="p"/>
              </m:rPr>
              <m:t>∣</m:t>
            </m:r>
          </m:e>
        </m:nary>
      </m:oMath>
      <w:r>
        <w:t xml:space="preserve">. A coordinate grid of maximum spacing</w:t>
      </w:r>
      <w:r>
        <w:t xml:space="preserve"> </w:t>
      </w:r>
      <m:oMath>
        <m:r>
          <m:t>2</m:t>
        </m:r>
        <m:r>
          <m:t>r</m:t>
        </m:r>
        <m:r>
          <m:rPr>
            <m:sty m:val="p"/>
          </m:rPr>
          <m:t>/</m:t>
        </m:r>
        <m:r>
          <m:t>P</m:t>
        </m:r>
      </m:oMath>
      <w:r>
        <w:t xml:space="preserve"> </w:t>
      </w:r>
      <w:r>
        <w:t xml:space="preserve">gives</w:t>
      </w:r>
    </w:p>
    <w:p>
      <w:pPr>
        <w:pStyle w:val="BodyText"/>
      </w:pPr>
      <m:oMathPara>
        <m:oMathParaPr>
          <m:jc m:val="center"/>
        </m:oMathParaPr>
        <m:oMath>
          <m:sSub>
            <m:e>
              <m:r>
                <m:t>N</m:t>
              </m:r>
            </m:e>
            <m:sub>
              <m:r>
                <m:t>z</m:t>
              </m:r>
            </m:sub>
          </m:sSub>
          <m:r>
            <m:rPr>
              <m:sty m:val="p"/>
            </m:rPr>
            <m:t>(</m:t>
          </m:r>
          <m:r>
            <m:t>r</m:t>
          </m:r>
          <m:r>
            <m:rPr>
              <m:sty m:val="p"/>
            </m:rPr>
            <m:t>)</m:t>
          </m:r>
          <m:r>
            <m:rPr>
              <m:sty m:val="p"/>
            </m:rPr>
            <m:t>≤</m:t>
          </m:r>
          <m:sSup>
            <m:e>
              <m:r>
                <m:rPr>
                  <m:sty m:val="p"/>
                </m:rPr>
                <m:t>(</m:t>
              </m:r>
              <m:r>
                <m:t>2</m:t>
              </m:r>
              <m:r>
                <m:rPr>
                  <m:sty m:val="p"/>
                </m:rPr>
                <m:t>+</m:t>
              </m:r>
              <m:r>
                <m:t>2</m:t>
              </m:r>
              <m:r>
                <m:t>Θ</m:t>
              </m:r>
              <m:r>
                <m:t>P</m:t>
              </m:r>
              <m:r>
                <m:rPr>
                  <m:sty m:val="p"/>
                </m:rPr>
                <m:t>/</m:t>
              </m:r>
              <m:r>
                <m:t>r</m:t>
              </m:r>
              <m:r>
                <m:rPr>
                  <m:sty m:val="p"/>
                </m:rPr>
                <m:t>)</m:t>
              </m:r>
            </m:e>
            <m:sup>
              <m:r>
                <m:t>P</m:t>
              </m:r>
            </m:sup>
          </m:sSup>
          <m:r>
            <m:rPr>
              <m:sty m:val="p"/>
            </m:rPr>
            <m:t>.</m:t>
          </m:r>
        </m:oMath>
      </m:oMathPara>
    </w:p>
    <w:p>
      <w:pPr>
        <w:pStyle w:val="FirstParagraph"/>
      </w:pPr>
      <w:r>
        <w:t xml:space="preserve">A finite choice of</w:t>
      </w:r>
      <w:r>
        <w:t xml:space="preserve"> </w:t>
      </w:r>
      <m:oMath>
        <m:r>
          <m:t>B</m:t>
        </m:r>
      </m:oMath>
      <w:r>
        <w:t xml:space="preserve"> </w:t>
      </w:r>
      <w:r>
        <w:t xml:space="preserve">circuit architectures multiplies the cover by at most</w:t>
      </w:r>
      <w:r>
        <w:t xml:space="preserve"> </w:t>
      </w:r>
      <m:oMath>
        <m:r>
          <m:t>B</m:t>
        </m:r>
      </m:oMath>
      <w:r>
        <w:t xml:space="preserve">. Parameter count alone gives no such bound: parameter ranges, map regularity and allowed architectures matter. This corollary specifies those assumptions rather than using dimension as a substitute for metric entropy.</w:t>
      </w:r>
    </w:p>
    <w:p>
      <w:pPr>
        <w:pStyle w:val="BodyText"/>
      </w:pPr>
      <w:r>
        <w:t xml:space="preserve">For</w:t>
      </w:r>
      <w:r>
        <w:t xml:space="preserve"> </w:t>
      </w:r>
      <m:oMath>
        <m:r>
          <m:t>d</m:t>
        </m:r>
        <m:r>
          <m:rPr>
            <m:sty m:val="p"/>
          </m:rPr>
          <m:t>=</m:t>
        </m:r>
        <m:sSup>
          <m:e>
            <m:r>
              <m:t>2</m:t>
            </m:r>
          </m:e>
          <m:sup>
            <m:r>
              <m:t>n</m:t>
            </m:r>
          </m:sup>
        </m:sSup>
      </m:oMath>
      <w:r>
        <w:t xml:space="preserve">, fixed fragment dimension and fixed positive</w:t>
      </w:r>
      <w:r>
        <w:t xml:space="preserve"> </w:t>
      </w:r>
      <m:oMath>
        <m:sSub>
          <m:e>
            <m:r>
              <m:t>a</m:t>
            </m:r>
          </m:e>
          <m:sub>
            <m:r>
              <m:t>r</m:t>
            </m:r>
          </m:sub>
        </m:sSub>
      </m:oMath>
      <w:r>
        <w:t xml:space="preserve">, a polynomial log-cover budget is eventually dominated by the</w:t>
      </w:r>
      <w:r>
        <w:t xml:space="preserve"> </w:t>
      </w:r>
      <m:oMath>
        <m:sSup>
          <m:e>
            <m:r>
              <m:t>2</m:t>
            </m:r>
          </m:e>
          <m:sup>
            <m:r>
              <m:t>n</m:t>
            </m:r>
          </m:sup>
        </m:sSup>
      </m:oMath>
      <w:r>
        <w:t xml:space="preserve"> </w:t>
      </w:r>
      <w:r>
        <w:t xml:space="preserve">concentration term. The resulting asymptotic suppression has form</w:t>
      </w:r>
      <w:r>
        <w:t xml:space="preserve"> </w:t>
      </w:r>
      <m:oMath>
        <m:r>
          <m:rPr>
            <m:sty m:val="p"/>
            <m:nor m:val="1"/>
          </m:rPr>
          <w:rPr>
            <w:i w:val="0"/>
          </w:rPr>
          <m:t>exp</m:t>
        </m:r>
        <m:r>
          <m:rPr>
            <m:sty m:val="p"/>
          </m:rPr>
          <m:t>[</m:t>
        </m:r>
        <m:r>
          <m:rPr>
            <m:sty m:val="p"/>
          </m:rPr>
          <m:t>−</m:t>
        </m:r>
        <m:r>
          <m:t>Ω</m:t>
        </m:r>
        <m:r>
          <m:rPr>
            <m:sty m:val="p"/>
          </m:rPr>
          <m:t>(</m:t>
        </m:r>
        <m:sSup>
          <m:e>
            <m:r>
              <m:t>2</m:t>
            </m:r>
          </m:e>
          <m:sup>
            <m:r>
              <m:t>n</m:t>
            </m:r>
          </m:sup>
        </m:sSup>
        <m:r>
          <m:rPr>
            <m:sty m:val="p"/>
          </m:rPr>
          <m:t>)</m:t>
        </m:r>
        <m:r>
          <m:rPr>
            <m:sty m:val="p"/>
          </m:rPr>
          <m:t>]</m:t>
        </m:r>
      </m:oMath>
      <w:r>
        <w:t xml:space="preserve">. This is not a claim of a useful small-</w:t>
      </w:r>
      <m:oMath>
        <m:r>
          <m:t>n</m:t>
        </m:r>
      </m:oMath>
      <w:r>
        <w:t xml:space="preserve"> </w:t>
      </w:r>
      <w:r>
        <w:t xml:space="preserve">numerical bound: in the plotted example it remains vacuous over many small system sizes. For the exact Figure 6 settings, the capped bound is one through</w:t>
      </w:r>
      <w:r>
        <w:t xml:space="preserve"> </w:t>
      </w:r>
      <m:oMath>
        <m:r>
          <m:t>n</m:t>
        </m:r>
        <m:r>
          <m:rPr>
            <m:sty m:val="p"/>
          </m:rPr>
          <m:t>=</m:t>
        </m:r>
        <m:r>
          <m:t>18</m:t>
        </m:r>
      </m:oMath>
      <w:r>
        <w:t xml:space="preserve"> </w:t>
      </w:r>
      <w:r>
        <w:t xml:space="preserve">and first becomes nontrivial at</w:t>
      </w:r>
      <w:r>
        <w:t xml:space="preserve"> </w:t>
      </w:r>
      <m:oMath>
        <m:r>
          <m:t>n</m:t>
        </m:r>
        <m:r>
          <m:rPr>
            <m:sty m:val="p"/>
          </m:rPr>
          <m:t>=</m:t>
        </m:r>
        <m:r>
          <m:t>19</m:t>
        </m:r>
      </m:oMath>
      <w:r>
        <w:t xml:space="preserve">, with base-ten logarithm approximately</w:t>
      </w:r>
      <w:r>
        <w:t xml:space="preserve"> </w:t>
      </w:r>
      <m:oMath>
        <m:r>
          <m:rPr>
            <m:sty m:val="p"/>
          </m:rPr>
          <m:t>−</m:t>
        </m:r>
        <m:r>
          <m:t>56.85</m:t>
        </m:r>
      </m:oMath>
      <w:r>
        <w:t xml:space="preserve">. Even the displayed concentration method without a search cover, for one fixed frame and one singleton with</w:t>
      </w:r>
      <w:r>
        <w:t xml:space="preserve"> </w:t>
      </w:r>
      <m:oMath>
        <m:r>
          <m:t>r</m:t>
        </m:r>
        <m:r>
          <m:rPr>
            <m:sty m:val="p"/>
          </m:rPr>
          <m:t>=</m:t>
        </m:r>
        <m:r>
          <m:t>0</m:t>
        </m:r>
      </m:oMath>
      <w:r>
        <w:t xml:space="preserve">, is capped at one through</w:t>
      </w:r>
      <w:r>
        <w:t xml:space="preserve"> </w:t>
      </w:r>
      <m:oMath>
        <m:r>
          <m:t>n</m:t>
        </m:r>
        <m:r>
          <m:rPr>
            <m:sty m:val="p"/>
          </m:rPr>
          <m:t>=</m:t>
        </m:r>
        <m:r>
          <m:t>10</m:t>
        </m:r>
      </m:oMath>
      <w:r>
        <w:t xml:space="preserve">. Proposition 3 gives the sharper elementary single-fragment bound approximately</w:t>
      </w:r>
      <w:r>
        <w:t xml:space="preserve"> </w:t>
      </w:r>
      <m:oMath>
        <m:r>
          <m:t>0.525</m:t>
        </m:r>
      </m:oMath>
      <w:r>
        <w:t xml:space="preserve"> </w:t>
      </w:r>
      <w:r>
        <w:t xml:space="preserve">at</w:t>
      </w:r>
      <w:r>
        <w:t xml:space="preserve"> </w:t>
      </w:r>
      <m:oMath>
        <m:r>
          <m:t>n</m:t>
        </m:r>
        <m:r>
          <m:rPr>
            <m:sty m:val="p"/>
          </m:rPr>
          <m:t>=</m:t>
        </m:r>
        <m:r>
          <m:t>4</m:t>
        </m:r>
      </m:oMath>
      <w:r>
        <w:t xml:space="preserve"> </w:t>
      </w:r>
      <w:r>
        <w:t xml:space="preserve">and</w:t>
      </w:r>
      <w:r>
        <w:t xml:space="preserve"> </w:t>
      </w:r>
      <m:oMath>
        <m:r>
          <m:t>0.269</m:t>
        </m:r>
      </m:oMath>
      <w:r>
        <w:t xml:space="preserve"> </w:t>
      </w:r>
      <w:r>
        <w:t xml:space="preserve">at</w:t>
      </w:r>
      <w:r>
        <w:t xml:space="preserve"> </w:t>
      </w:r>
      <m:oMath>
        <m:r>
          <m:t>n</m:t>
        </m:r>
        <m:r>
          <m:rPr>
            <m:sty m:val="p"/>
          </m:rPr>
          <m:t>=</m:t>
        </m:r>
        <m:r>
          <m:t>6</m:t>
        </m:r>
      </m:oMath>
      <w:r>
        <w:t xml:space="preserve">. These are conditional fixed-frame probabilities, not bounds on all fragments, all times or the non-Haar preparations used in the source-off pilot. Failure to obtain a useful finite-size bound is not a counterexample to the theorem.</w:t>
      </w:r>
    </w:p>
    <w:p>
      <w:pPr>
        <w:pStyle w:val="BodyText"/>
        <w:keepNext/>
        <w:jc w:val="center"/>
      </w:pPr>
      <w:r>
        <w:drawing>
          <wp:inline>
            <wp:extent cx="5334000" cy="2962388"/>
            <wp:effectExtent b="0" l="0" r="0" t="0"/>
            <wp:docPr descr="Conditional adaptive-family probability bound with explicit circuit-cover assumptions." title="" id="117" name="Picture"/>
            <a:graphic>
              <a:graphicData uri="http://schemas.openxmlformats.org/drawingml/2006/picture">
                <pic:pic>
                  <pic:nvPicPr>
                    <pic:cNvPr descr="../figures/adaptive_cover_bound.png" id="118" name="Picture"/>
                    <pic:cNvPicPr>
                      <a:picLocks noChangeArrowheads="1" noChangeAspect="1"/>
                    </pic:cNvPicPr>
                  </pic:nvPicPr>
                  <pic:blipFill>
                    <a:blip r:embed="rId116"/>
                    <a:stretch>
                      <a:fillRect/>
                    </a:stretch>
                  </pic:blipFill>
                  <pic:spPr bwMode="auto">
                    <a:xfrm>
                      <a:off x="0" y="0"/>
                      <a:ext cx="5334000" cy="2962388"/>
                    </a:xfrm>
                    <a:prstGeom prst="rect">
                      <a:avLst/>
                    </a:prstGeom>
                    <a:noFill/>
                    <a:ln w="9525">
                      <a:noFill/>
                      <a:headEnd/>
                      <a:tailEnd/>
                    </a:ln>
                  </pic:spPr>
                </pic:pic>
              </a:graphicData>
            </a:graphic>
          </wp:inline>
        </w:drawing>
      </w:r>
    </w:p>
    <w:p>
      <w:pPr>
        <w:pStyle w:val="Caption"/>
        <w:spacing w:after="180"/>
      </w:pPr>
      <w:r>
        <w:rPr>
          <w:b/>
          <w:bCs/>
        </w:rPr>
        <w:t xml:space="preserve">Figure 6. A theorem can be correct while its finite-size bound is uninformative. The plot uses singleton fragments,</w:t>
      </w:r>
      <w:r>
        <w:rPr>
          <w:b/>
          <w:bCs/>
        </w:rPr>
        <w:t xml:space="preserve"> </w:t>
      </w:r>
      <m:oMath>
        <m:r>
          <m:t>J</m:t>
        </m:r>
        <m:r>
          <m:rPr>
            <m:sty m:val="p"/>
          </m:rPr>
          <m:t>=</m:t>
        </m:r>
        <m:r>
          <m:t>n</m:t>
        </m:r>
      </m:oMath>
      <w:r>
        <w:rPr>
          <w:b/>
          <w:bCs/>
        </w:rPr>
        <w:t xml:space="preserve">,</w:t>
      </w:r>
      <w:r>
        <w:rPr>
          <w:b/>
          <w:bCs/>
        </w:rPr>
        <w:t xml:space="preserve"> </w:t>
      </w:r>
      <m:oMath>
        <m:r>
          <m:t>P</m:t>
        </m:r>
        <m:r>
          <m:rPr>
            <m:sty m:val="p"/>
          </m:rPr>
          <m:t>=</m:t>
        </m:r>
        <m:r>
          <m:t>2</m:t>
        </m:r>
        <m:r>
          <m:t>n</m:t>
        </m:r>
      </m:oMath>
      <w:r>
        <w:rPr>
          <w:b/>
          <w:bCs/>
        </w:rPr>
        <w:t xml:space="preserve">,</w:t>
      </w:r>
      <w:r>
        <w:rPr>
          <w:b/>
          <w:bCs/>
        </w:rPr>
        <w:t xml:space="preserve"> </w:t>
      </w:r>
      <m:oMath>
        <m:r>
          <m:t>Θ</m:t>
        </m:r>
        <m:r>
          <m:rPr>
            <m:sty m:val="p"/>
          </m:rPr>
          <m:t>=</m:t>
        </m:r>
        <m:r>
          <m:t>π</m:t>
        </m:r>
      </m:oMath>
      <w:r>
        <w:rPr>
          <w:b/>
          <w:bCs/>
        </w:rPr>
        <w:t xml:space="preserve">,</w:t>
      </w:r>
      <w:r>
        <w:rPr>
          <w:b/>
          <w:bCs/>
        </w:rPr>
        <w:t xml:space="preserve"> </w:t>
      </w:r>
      <m:oMath>
        <m:r>
          <m:t>r</m:t>
        </m:r>
        <m:r>
          <m:rPr>
            <m:sty m:val="p"/>
          </m:rPr>
          <m:t>=</m:t>
        </m:r>
        <m:r>
          <m:t>0.05</m:t>
        </m:r>
      </m:oMath>
      <w:r>
        <w:rPr>
          <w:b/>
          <w:bCs/>
        </w:rPr>
        <w:t xml:space="preserve"> </w:t>
      </w:r>
      <w:r>
        <w:rPr>
          <w:b/>
          <w:bCs/>
        </w:rPr>
        <w:t xml:space="preserve">and</w:t>
      </w:r>
      <w:r>
        <w:rPr>
          <w:b/>
          <w:bCs/>
        </w:rPr>
        <w:t xml:space="preserve"> </w:t>
      </w:r>
      <m:oMath>
        <m:r>
          <m:t>ε</m:t>
        </m:r>
        <m:r>
          <m:rPr>
            <m:sty m:val="p"/>
          </m:rPr>
          <m:t>=</m:t>
        </m:r>
        <m:r>
          <m:t>0.1</m:t>
        </m:r>
      </m:oMath>
      <w:r>
        <w:rPr>
          <w:b/>
          <w:bCs/>
        </w:rPr>
        <w:t xml:space="preserve">. It displays the base-ten logarithm of the capped bound, with zero meaning probability at most one. The curve is a calculated envelope, not observed record frequencies.</w:t>
      </w:r>
    </w:p>
    <w:p>
      <w:pPr>
        <w:pStyle w:val="BodyText"/>
      </w:pPr>
      <w:r>
        <w:t xml:space="preserve">The proposition addresses a uniform-selection question under an explicit covering contract. It is a derived concentration-and-net corollary, not a claim of historical novelty. It does not cover physical energy-shell states, arbitrary nonlinear preparation, a state-chosen family, or every time in a window. Persistent qualification implies qualification at any fixed time in that window, so the same upper bound constrains that event; an existence-at-any-time event needs its own time covering argument. It does not prove emergence of locality or a result about consciousness.</w:t>
      </w:r>
    </w:p>
    <w:bookmarkEnd w:id="119"/>
    <w:sectPr>
      <w:headerReference w:type="default" r:id="rId9"/>
      <w:footerReference w:type="default" r:id="rId10"/>
      <w:pgSz w:w="11905" w:h="16838"/>
      <w:pgMar w:left="1037" w:right="1037" w:top="922" w:bottom="907" w:header="331" w:footer="3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Review edition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Frame-Aligned Records</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31">
    <w:nsid w:val="00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531">
    <w:nsid w:val="00A9953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widowControl/>
      <w:spacing w:after="100" w:line="254" w:lineRule="auto"/>
    </w:pPr>
    <w:rPr>
      <w:rFonts w:ascii="Carlito" w:hAnsi="Carlito"/>
      <w:sz w:val="21"/>
    </w:rPr>
  </w:style>
  <w:style w:styleId="BodyText" w:type="paragraph">
    <w:name w:val="Body Text"/>
    <w:basedOn w:val="Normal"/>
    <w:link w:val="BodyTextChar"/>
    <w:qFormat/>
    <w:pPr>
      <w:widowControl/>
      <w:spacing w:after="100" w:before="180" w:line="254" w:lineRule="auto"/>
    </w:pPr>
    <w:rPr>
      <w:rFonts w:ascii="Carlito" w:hAnsi="Carlito"/>
      <w:sz w:val="21"/>
    </w:rPr>
  </w:style>
  <w:style w:customStyle="1" w:styleId="FirstParagraph" w:type="paragraph">
    <w:name w:val="First Paragraph"/>
    <w:basedOn w:val="BodyText"/>
    <w:next w:val="BodyText"/>
    <w:qFormat/>
    <w:pPr>
      <w:widowControl/>
      <w:spacing w:after="100" w:line="254" w:lineRule="auto"/>
    </w:pPr>
    <w:rPr>
      <w:rFonts w:ascii="Carlito" w:hAnsi="Carlito"/>
      <w:sz w:val="21"/>
    </w:rPr>
  </w:style>
  <w:style w:customStyle="1" w:styleId="Compact" w:type="paragraph">
    <w:name w:val="Compact"/>
    <w:basedOn w:val="BodyText"/>
    <w:qFormat/>
    <w:pPr>
      <w:widowControl/>
      <w:spacing w:after="100" w:before="36" w:line="254" w:lineRule="auto"/>
    </w:pPr>
    <w:rPr>
      <w:rFonts w:ascii="Carlito" w:hAnsi="Carlito"/>
      <w:sz w:val="21"/>
    </w:rPr>
  </w:style>
  <w:style w:styleId="Title" w:type="paragraph">
    <w:name w:val="Title"/>
    <w:basedOn w:val="Normal"/>
    <w:next w:val="BodyText"/>
    <w:qFormat/>
    <w:pPr>
      <w:keepNext/>
      <w:keepLines/>
      <w:widowControl/>
      <w:spacing w:after="120" w:before="220" w:line="254" w:lineRule="auto"/>
      <w:jc w:val="center"/>
    </w:pPr>
    <w:rPr>
      <w:rFonts w:asciiTheme="majorHAnsi" w:cstheme="majorBidi" w:eastAsiaTheme="majorEastAsia" w:hAnsiTheme="majorHAnsi" w:ascii="Carlito" w:hAnsi="Carlito"/>
      <w:b w:val="0"/>
      <w:bCs/>
      <w:color w:val="253C50"/>
      <w:sz w:val="46"/>
      <w:szCs w:val="36"/>
    </w:rPr>
  </w:style>
  <w:style w:styleId="Subtitle" w:type="paragraph">
    <w:name w:val="Subtitle"/>
    <w:basedOn w:val="Title"/>
    <w:next w:val="BodyText"/>
    <w:qFormat/>
    <w:pPr>
      <w:keepNext/>
      <w:keepLines/>
      <w:widowControl/>
      <w:spacing w:after="120" w:before="220" w:line="254" w:lineRule="auto"/>
      <w:jc w:val="center"/>
    </w:pPr>
    <w:rPr>
      <w:rFonts w:ascii="Carlito" w:hAnsi="Carlito"/>
      <w:b w:val="0"/>
      <w:color w:val="253C50"/>
      <w:sz w:val="28"/>
      <w:szCs w:val="30"/>
    </w:rPr>
  </w:style>
  <w:style w:customStyle="1" w:styleId="Author" w:type="paragraph">
    <w:name w:val="Author"/>
    <w:next w:val="BodyText"/>
    <w:qFormat/>
    <w:pPr>
      <w:keepNext/>
      <w:keepLines/>
      <w:widowControl/>
      <w:spacing w:after="100" w:line="254" w:lineRule="auto"/>
      <w:jc w:val="center"/>
    </w:pPr>
    <w:rPr>
      <w:rFonts w:ascii="Carlito" w:hAnsi="Carlito"/>
      <w:sz w:val="21"/>
    </w:rPr>
  </w:style>
  <w:style w:styleId="Date" w:type="paragraph">
    <w:name w:val="Date"/>
    <w:next w:val="BodyText"/>
    <w:qFormat/>
    <w:pPr>
      <w:keepNext/>
      <w:keepLines/>
      <w:widowControl/>
      <w:spacing w:after="100" w:line="254" w:lineRule="auto"/>
      <w:jc w:val="center"/>
    </w:pPr>
    <w:rPr>
      <w:rFonts w:ascii="Carlito" w:hAnsi="Carlito"/>
      <w:sz w:val="21"/>
    </w:rPr>
  </w:style>
  <w:style w:customStyle="1" w:styleId="AbstractTitle" w:type="paragraph">
    <w:name w:val="Abstract Title"/>
    <w:basedOn w:val="Normal"/>
    <w:next w:val="Abstract"/>
    <w:qFormat/>
    <w:pPr>
      <w:keepNext/>
      <w:keepLines/>
      <w:widowControl/>
      <w:spacing w:after="100" w:before="300" w:line="254" w:lineRule="auto"/>
      <w:jc w:val="center"/>
    </w:pPr>
    <w:rPr>
      <w:rFonts w:ascii="Carlito" w:hAnsi="Carlito"/>
      <w:b/>
      <w:color w:val="345A8A"/>
      <w:sz w:val="21"/>
      <w:szCs w:val="20"/>
    </w:rPr>
  </w:style>
  <w:style w:customStyle="1" w:styleId="Abstract" w:type="paragraph">
    <w:name w:val="Abstract"/>
    <w:basedOn w:val="Normal"/>
    <w:next w:val="BodyText"/>
    <w:qFormat/>
    <w:pPr>
      <w:keepNext/>
      <w:keepLines/>
      <w:widowControl/>
      <w:spacing w:after="100" w:before="100" w:line="254" w:lineRule="auto"/>
    </w:pPr>
    <w:rPr>
      <w:rFonts w:ascii="Carlito" w:hAnsi="Carlito"/>
      <w:sz w:val="21"/>
      <w:szCs w:val="20"/>
    </w:rPr>
  </w:style>
  <w:style w:styleId="Bibliography" w:type="paragraph">
    <w:name w:val="Bibliography"/>
    <w:basedOn w:val="Normal"/>
    <w:next w:val="Bibliography"/>
    <w:qFormat/>
    <w:pPr>
      <w:widowControl/>
      <w:spacing w:after="100" w:line="254" w:lineRule="auto"/>
    </w:pPr>
    <w:rPr>
      <w:rFonts w:ascii="Carlito" w:hAnsi="Carlito"/>
      <w:sz w:val="21"/>
    </w:rPr>
  </w:style>
  <w:style w:styleId="Heading1" w:type="paragraph">
    <w:name w:val="Heading 1"/>
    <w:basedOn w:val="Normal"/>
    <w:next w:val="BodyText"/>
    <w:uiPriority w:val="9"/>
    <w:qFormat/>
    <w:pPr>
      <w:keepNext/>
      <w:keepLines/>
      <w:widowControl/>
      <w:spacing w:after="120" w:before="220" w:line="254" w:lineRule="auto"/>
      <w:outlineLvl w:val="0"/>
    </w:pPr>
    <w:rPr>
      <w:rFonts w:asciiTheme="majorHAnsi" w:cstheme="majorBidi" w:eastAsiaTheme="majorEastAsia" w:hAnsiTheme="majorHAnsi" w:ascii="Carlito" w:hAnsi="Carlito"/>
      <w:b/>
      <w:bCs/>
      <w:color w:val="253C50"/>
      <w:sz w:val="30"/>
      <w:szCs w:val="32"/>
    </w:rPr>
  </w:style>
  <w:style w:styleId="Heading2" w:type="paragraph">
    <w:name w:val="Heading 2"/>
    <w:basedOn w:val="Normal"/>
    <w:next w:val="BodyText"/>
    <w:uiPriority w:val="9"/>
    <w:unhideWhenUsed/>
    <w:qFormat/>
    <w:pPr>
      <w:keepNext/>
      <w:keepLines/>
      <w:widowControl/>
      <w:spacing w:after="120" w:before="220" w:line="254" w:lineRule="auto"/>
      <w:outlineLvl w:val="1"/>
    </w:pPr>
    <w:rPr>
      <w:rFonts w:asciiTheme="majorHAnsi" w:cstheme="majorBidi" w:eastAsiaTheme="majorEastAsia" w:hAnsiTheme="majorHAnsi" w:ascii="Carlito" w:hAnsi="Carlito"/>
      <w:b/>
      <w:bCs/>
      <w:color w:val="253C50"/>
      <w:sz w:val="24"/>
      <w:szCs w:val="28"/>
    </w:rPr>
  </w:style>
  <w:style w:styleId="Heading3" w:type="paragraph">
    <w:name w:val="Heading 3"/>
    <w:basedOn w:val="Normal"/>
    <w:next w:val="BodyText"/>
    <w:uiPriority w:val="9"/>
    <w:unhideWhenUsed/>
    <w:qFormat/>
    <w:pPr>
      <w:keepNext/>
      <w:keepLines/>
      <w:widowControl/>
      <w:spacing w:after="120" w:before="220" w:line="254" w:lineRule="auto"/>
      <w:outlineLvl w:val="2"/>
    </w:pPr>
    <w:rPr>
      <w:rFonts w:asciiTheme="majorHAnsi" w:cstheme="majorBidi" w:eastAsiaTheme="majorEastAsia" w:hAnsiTheme="majorHAnsi" w:ascii="Carlito" w:hAnsi="Carlito"/>
      <w:b/>
      <w:bCs/>
      <w:color w:val="253C50"/>
      <w:sz w:val="22"/>
      <w:szCs w:val="24"/>
    </w:rPr>
  </w:style>
  <w:style w:styleId="Heading4" w:type="paragraph">
    <w:name w:val="Heading 4"/>
    <w:basedOn w:val="Normal"/>
    <w:next w:val="BodyText"/>
    <w:uiPriority w:val="9"/>
    <w:unhideWhenUsed/>
    <w:qFormat/>
    <w:pPr>
      <w:keepNext/>
      <w:keepLines/>
      <w:widowControl/>
      <w:spacing w:after="100" w:before="200" w:line="254" w:lineRule="auto"/>
      <w:outlineLvl w:val="3"/>
    </w:pPr>
    <w:rPr>
      <w:rFonts w:asciiTheme="majorHAnsi" w:cstheme="majorBidi" w:eastAsiaTheme="majorEastAsia" w:hAnsiTheme="majorHAnsi" w:ascii="Carlito" w:hAnsi="Carlito"/>
      <w:bCs/>
      <w:i/>
      <w:color w:themeColor="accent1" w:val="4F81BD"/>
      <w:sz w:val="21"/>
      <w:szCs w:val="24"/>
    </w:rPr>
  </w:style>
  <w:style w:styleId="Heading5" w:type="paragraph">
    <w:name w:val="Heading 5"/>
    <w:basedOn w:val="Normal"/>
    <w:next w:val="BodyText"/>
    <w:uiPriority w:val="9"/>
    <w:unhideWhenUsed/>
    <w:qFormat/>
    <w:pPr>
      <w:keepNext/>
      <w:keepLines/>
      <w:widowControl/>
      <w:spacing w:after="100" w:before="200" w:line="254" w:lineRule="auto"/>
      <w:outlineLvl w:val="4"/>
    </w:pPr>
    <w:rPr>
      <w:rFonts w:asciiTheme="majorHAnsi" w:cstheme="majorBidi" w:eastAsiaTheme="majorEastAsia" w:hAnsiTheme="majorHAnsi" w:ascii="Carlito" w:hAnsi="Carlito"/>
      <w:iCs/>
      <w:color w:themeColor="accent1" w:val="4F81BD"/>
      <w:sz w:val="21"/>
      <w:szCs w:val="24"/>
    </w:rPr>
  </w:style>
  <w:style w:styleId="Heading6" w:type="paragraph">
    <w:name w:val="Heading 6"/>
    <w:basedOn w:val="Normal"/>
    <w:next w:val="BodyText"/>
    <w:uiPriority w:val="9"/>
    <w:unhideWhenUsed/>
    <w:qFormat/>
    <w:pPr>
      <w:keepNext/>
      <w:keepLines/>
      <w:widowControl/>
      <w:spacing w:after="100" w:before="200" w:line="254" w:lineRule="auto"/>
      <w:outlineLvl w:val="5"/>
    </w:pPr>
    <w:rPr>
      <w:rFonts w:asciiTheme="majorHAnsi" w:cstheme="majorBidi" w:eastAsiaTheme="majorEastAsia" w:hAnsiTheme="majorHAnsi" w:ascii="Carlito" w:hAnsi="Carlito"/>
      <w:color w:themeColor="accent1" w:val="4F81BD"/>
      <w:sz w:val="21"/>
      <w:szCs w:val="24"/>
    </w:rPr>
  </w:style>
  <w:style w:styleId="Heading7" w:type="paragraph">
    <w:name w:val="Heading 7"/>
    <w:basedOn w:val="Normal"/>
    <w:next w:val="BodyText"/>
    <w:uiPriority w:val="9"/>
    <w:unhideWhenUsed/>
    <w:qFormat/>
    <w:pPr>
      <w:keepNext/>
      <w:keepLines/>
      <w:widowControl/>
      <w:spacing w:after="100" w:before="200" w:line="254" w:lineRule="auto"/>
      <w:outlineLvl w:val="6"/>
    </w:pPr>
    <w:rPr>
      <w:rFonts w:asciiTheme="majorHAnsi" w:cstheme="majorBidi" w:eastAsiaTheme="majorEastAsia" w:hAnsiTheme="majorHAnsi" w:ascii="Carlito" w:hAnsi="Carlito"/>
      <w:color w:themeColor="accent1" w:val="4F81BD"/>
      <w:sz w:val="21"/>
      <w:szCs w:val="24"/>
    </w:rPr>
  </w:style>
  <w:style w:styleId="Heading8" w:type="paragraph">
    <w:name w:val="Heading 8"/>
    <w:basedOn w:val="Normal"/>
    <w:next w:val="BodyText"/>
    <w:uiPriority w:val="9"/>
    <w:unhideWhenUsed/>
    <w:qFormat/>
    <w:pPr>
      <w:keepNext/>
      <w:keepLines/>
      <w:widowControl/>
      <w:spacing w:after="100" w:before="200" w:line="254" w:lineRule="auto"/>
      <w:outlineLvl w:val="7"/>
    </w:pPr>
    <w:rPr>
      <w:rFonts w:asciiTheme="majorHAnsi" w:cstheme="majorBidi" w:eastAsiaTheme="majorEastAsia" w:hAnsiTheme="majorHAnsi" w:ascii="Carlito" w:hAnsi="Carlito"/>
      <w:color w:themeColor="accent1" w:val="4F81BD"/>
      <w:sz w:val="21"/>
      <w:szCs w:val="24"/>
    </w:rPr>
  </w:style>
  <w:style w:styleId="Heading9" w:type="paragraph">
    <w:name w:val="Heading 9"/>
    <w:basedOn w:val="Normal"/>
    <w:next w:val="BodyText"/>
    <w:uiPriority w:val="9"/>
    <w:unhideWhenUsed/>
    <w:qFormat/>
    <w:pPr>
      <w:keepNext/>
      <w:keepLines/>
      <w:widowControl/>
      <w:spacing w:after="100" w:before="200" w:line="254" w:lineRule="auto"/>
      <w:outlineLvl w:val="8"/>
    </w:pPr>
    <w:rPr>
      <w:rFonts w:asciiTheme="majorHAnsi" w:cstheme="majorBidi" w:eastAsiaTheme="majorEastAsia" w:hAnsiTheme="majorHAnsi" w:ascii="Carlito" w:hAnsi="Carlito"/>
      <w:color w:themeColor="accent1" w:val="4F81BD"/>
      <w:sz w:val="21"/>
      <w:szCs w:val="24"/>
    </w:rPr>
  </w:style>
  <w:style w:styleId="BlockText" w:type="paragraph">
    <w:name w:val="Block Text"/>
    <w:basedOn w:val="BodyText"/>
    <w:next w:val="BodyText"/>
    <w:uiPriority w:val="9"/>
    <w:unhideWhenUsed/>
    <w:qFormat/>
    <w:pPr>
      <w:widowControl/>
      <w:spacing w:after="100" w:before="100" w:line="254" w:lineRule="auto"/>
      <w:ind w:firstLine="0" w:left="480" w:right="480"/>
    </w:pPr>
    <w:rPr>
      <w:rFonts w:ascii="Carlito" w:hAnsi="Carlito"/>
      <w:sz w:val="21"/>
    </w:rPr>
  </w:style>
  <w:style w:styleId="FootnoteText" w:type="paragraph">
    <w:name w:val="Footnote Text"/>
    <w:basedOn w:val="Normal"/>
    <w:next w:val="FootnoteText"/>
    <w:uiPriority w:val="9"/>
    <w:unhideWhenUsed/>
    <w:qFormat/>
    <w:pPr>
      <w:widowControl/>
      <w:spacing w:after="100" w:line="254" w:lineRule="auto"/>
    </w:pPr>
    <w:rPr>
      <w:rFonts w:ascii="Carlito" w:hAnsi="Carlito"/>
      <w:sz w:val="21"/>
    </w:rPr>
  </w:style>
  <w:style w:styleId="FootnoteBlockText" w:type="paragraph">
    <w:name w:val="Footnote Block Text"/>
    <w:basedOn w:val="Footnote Text"/>
    <w:next w:val="Footnote Text"/>
    <w:uiPriority w:val="9"/>
    <w:unhideWhenUsed/>
    <w:qFormat/>
    <w:pPr>
      <w:widowControl/>
      <w:spacing w:after="100" w:before="100" w:line="254" w:lineRule="auto"/>
      <w:ind w:firstLine="0" w:left="480" w:right="480"/>
    </w:pPr>
    <w:rPr>
      <w:rFonts w:ascii="Carlito" w:hAnsi="Carlito"/>
      <w:sz w:val="21"/>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widowControl/>
      <w:spacing w:after="100" w:line="254" w:lineRule="auto"/>
    </w:pPr>
    <w:rPr>
      <w:rFonts w:ascii="Carlito" w:hAnsi="Carlito"/>
      <w:b/>
      <w:sz w:val="21"/>
    </w:rPr>
  </w:style>
  <w:style w:customStyle="1" w:styleId="Definition" w:type="paragraph">
    <w:name w:val="Definition"/>
    <w:basedOn w:val="Normal"/>
    <w:pPr>
      <w:widowControl/>
      <w:spacing w:after="100" w:line="254" w:lineRule="auto"/>
    </w:pPr>
    <w:rPr>
      <w:rFonts w:ascii="Carlito" w:hAnsi="Carlito"/>
      <w:sz w:val="21"/>
    </w:rPr>
  </w:style>
  <w:style w:styleId="Caption" w:type="paragraph">
    <w:name w:val="Caption"/>
    <w:basedOn w:val="Normal"/>
    <w:link w:val="BodyTextChar"/>
    <w:pPr>
      <w:widowControl/>
      <w:spacing w:after="100" w:before="0" w:line="254" w:lineRule="auto"/>
    </w:pPr>
    <w:rPr>
      <w:rFonts w:ascii="Carlito" w:hAnsi="Carlito"/>
      <w:i/>
      <w:sz w:val="21"/>
    </w:rPr>
  </w:style>
  <w:style w:customStyle="1" w:styleId="TableCaption" w:type="paragraph">
    <w:name w:val="Table Caption"/>
    <w:basedOn w:val="Caption"/>
    <w:pPr>
      <w:keepNext/>
      <w:widowControl/>
      <w:spacing w:after="100" w:line="254" w:lineRule="auto"/>
    </w:pPr>
    <w:rPr>
      <w:rFonts w:ascii="Carlito" w:hAnsi="Carlito"/>
      <w:sz w:val="21"/>
    </w:rPr>
  </w:style>
  <w:style w:customStyle="1" w:styleId="ImageCaption" w:type="paragraph">
    <w:name w:val="Image Caption"/>
    <w:basedOn w:val="Caption"/>
    <w:pPr>
      <w:widowControl/>
      <w:spacing w:after="100" w:line="254" w:lineRule="auto"/>
    </w:pPr>
    <w:rPr>
      <w:rFonts w:ascii="Carlito" w:hAnsi="Carlito"/>
      <w:sz w:val="21"/>
    </w:rPr>
  </w:style>
  <w:style w:customStyle="1" w:styleId="Figure" w:type="paragraph">
    <w:name w:val="Figure"/>
    <w:basedOn w:val="Normal"/>
    <w:pPr>
      <w:widowControl/>
      <w:spacing w:after="100" w:line="254" w:lineRule="auto"/>
    </w:pPr>
    <w:rPr>
      <w:rFonts w:ascii="Carlito" w:hAnsi="Carlito"/>
      <w:sz w:val="21"/>
    </w:rPr>
  </w:style>
  <w:style w:customStyle="1" w:styleId="CaptionedFigure" w:type="paragraph">
    <w:name w:val="Captioned Figure"/>
    <w:basedOn w:val="Figure"/>
    <w:pPr>
      <w:keepNext/>
      <w:widowControl/>
      <w:spacing w:after="100" w:line="254" w:lineRule="auto"/>
    </w:pPr>
    <w:rPr>
      <w:rFonts w:ascii="Carlito" w:hAnsi="Carlito"/>
      <w:sz w:val="21"/>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DejaVu Sans Mono" w:hAnsi="DejaVu Sans Mono"/>
      <w:sz w:val="16"/>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widowControl/>
      <w:spacing w:before="240" w:line="254" w:lineRule="auto" w:after="100"/>
      <w:outlineLvl w:val="9"/>
    </w:pPr>
    <w:rPr>
      <w:rFonts w:asciiTheme="majorHAnsi" w:cstheme="majorBidi" w:eastAsiaTheme="majorEastAsia" w:hAnsiTheme="majorHAnsi" w:ascii="Carlito" w:hAnsi="Carlito"/>
      <w:b w:val="0"/>
      <w:bCs w:val="0"/>
      <w:color w:themeColor="accent1" w:themeShade="BF" w:val="365F91"/>
      <w:sz w:val="21"/>
    </w:rPr>
  </w:style>
  <w:style w:type="paragraph" w:customStyle="1" w:styleId="SourceCode">
    <w:name w:val="Source Code"/>
    <w:basedOn w:val="Normal"/>
    <w:link w:val="VerbatimChar"/>
    <w:pPr>
      <w:widowControl/>
      <w:wordWrap w:val="off"/>
      <w:spacing w:after="100" w:line="254" w:lineRule="auto"/>
    </w:pPr>
    <w:rPr>
      <w:rFonts w:ascii="DejaVu Sans Mono" w:hAnsi="DejaVu Sans Mono"/>
      <w:sz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 w:type="paragraph" w:customStyle="1" w:styleId="CaptionedFigure">
    <w:name w:val="CaptionedFigure"/>
  </w:style>
  <w:style w:type="paragraph" w:customStyle="1" w:styleId="footer">
    <w:name w:val="footer"/>
    <w:rPr>
      <w:rFonts w:ascii="Carlito" w:hAnsi="Carlito"/>
      <w:sz w:val="16"/>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116" Type="http://schemas.openxmlformats.org/officeDocument/2006/relationships/image" Target="media/rId116.png"/><Relationship Id="rId103" Type="http://schemas.openxmlformats.org/officeDocument/2006/relationships/image" Target="media/rId103.png"/><Relationship Id="rId110" Type="http://schemas.openxmlformats.org/officeDocument/2006/relationships/image" Target="media/rId110.png"/><Relationship Id="rId46" Type="http://schemas.openxmlformats.org/officeDocument/2006/relationships/image" Target="media/rId46.png"/><Relationship Id="rId107" Type="http://schemas.openxmlformats.org/officeDocument/2006/relationships/image" Target="media/rId107.png"/><Relationship Id="rId49" Type="http://schemas.openxmlformats.org/officeDocument/2006/relationships/image" Target="media/rId49.png"/><Relationship Id="rId86" Type="http://schemas.openxmlformats.org/officeDocument/2006/relationships/hyperlink" Target="https://arxiv.org/abs/0907.3740" TargetMode="External"/><Relationship Id="rId99" Type="http://schemas.openxmlformats.org/officeDocument/2006/relationships/hyperlink" Target="https://arxiv.org/abs/0911.4307" TargetMode="External"/><Relationship Id="rId92" Type="http://schemas.openxmlformats.org/officeDocument/2006/relationships/hyperlink" Target="https://arxiv.org/abs/1205.3197" TargetMode="External"/><Relationship Id="rId79" Type="http://schemas.openxmlformats.org/officeDocument/2006/relationships/hyperlink" Target="https://arxiv.org/abs/1411.7565" TargetMode="External"/><Relationship Id="rId88" Type="http://schemas.openxmlformats.org/officeDocument/2006/relationships/hyperlink" Target="https://arxiv.org/html/2202.06832v1" TargetMode="External"/><Relationship Id="rId77" Type="http://schemas.openxmlformats.org/officeDocument/2006/relationships/hyperlink" Target="https://doi.org/10.1007/BF01007479" TargetMode="External"/><Relationship Id="rId84" Type="http://schemas.openxmlformats.org/officeDocument/2006/relationships/hyperlink" Target="https://doi.org/10.1007/BF01645779" TargetMode="External"/><Relationship Id="rId76" Type="http://schemas.openxmlformats.org/officeDocument/2006/relationships/hyperlink" Target="https://doi.org/10.1007/s00220-019-03376-w" TargetMode="External"/><Relationship Id="rId85" Type="http://schemas.openxmlformats.org/officeDocument/2006/relationships/hyperlink" Target="https://doi.org/10.1007/s10701-024-00813-2" TargetMode="External"/><Relationship Id="rId78" Type="http://schemas.openxmlformats.org/officeDocument/2006/relationships/hyperlink" Target="https://doi.org/10.1007/s11749-017-0571-1" TargetMode="External"/><Relationship Id="rId73" Type="http://schemas.openxmlformats.org/officeDocument/2006/relationships/hyperlink" Target="https://doi.org/10.1038/ncomms8908" TargetMode="External"/><Relationship Id="rId98" Type="http://schemas.openxmlformats.org/officeDocument/2006/relationships/hyperlink" Target="https://doi.org/10.1038/nphys1202" TargetMode="External"/><Relationship Id="rId91" Type="http://schemas.openxmlformats.org/officeDocument/2006/relationships/hyperlink" Target="https://doi.org/10.1038/nphys444" TargetMode="External"/><Relationship Id="rId80" Type="http://schemas.openxmlformats.org/officeDocument/2006/relationships/hyperlink" Target="https://doi.org/10.1080/01621459.1963.10500830" TargetMode="External"/><Relationship Id="rId75" Type="http://schemas.openxmlformats.org/officeDocument/2006/relationships/hyperlink" Target="https://doi.org/10.1103/PhysRevA.103.022213" TargetMode="External"/><Relationship Id="rId74" Type="http://schemas.openxmlformats.org/officeDocument/2006/relationships/hyperlink" Target="https://doi.org/10.1103/PhysRevD.95.024031" TargetMode="External"/><Relationship Id="rId83" Type="http://schemas.openxmlformats.org/officeDocument/2006/relationships/hyperlink" Target="https://doi.org/10.1103/PhysRevLett.122.010403" TargetMode="External"/><Relationship Id="rId89" Type="http://schemas.openxmlformats.org/officeDocument/2006/relationships/hyperlink" Target="https://doi.org/10.1103/PhysRevLett.82.5181" TargetMode="External"/><Relationship Id="rId94" Type="http://schemas.openxmlformats.org/officeDocument/2006/relationships/hyperlink" Target="https://doi.org/10.1103/PhysRevLett.87.077901" TargetMode="External"/><Relationship Id="rId96" Type="http://schemas.openxmlformats.org/officeDocument/2006/relationships/hyperlink" Target="https://doi.org/10.1103/PhysRevLett.92.060402" TargetMode="External"/><Relationship Id="rId97" Type="http://schemas.openxmlformats.org/officeDocument/2006/relationships/hyperlink" Target="https://doi.org/10.1103/RevModPhys.75.715" TargetMode="External"/><Relationship Id="rId71" Type="http://schemas.openxmlformats.org/officeDocument/2006/relationships/hyperlink" Target="https://doi.org/10.1103/vj4x-96fk" TargetMode="External"/><Relationship Id="rId90" Type="http://schemas.openxmlformats.org/officeDocument/2006/relationships/hyperlink" Target="https://doi.org/10.2202/1544-6115.1585" TargetMode="External"/><Relationship Id="rId95" Type="http://schemas.openxmlformats.org/officeDocument/2006/relationships/hyperlink" Target="https://doi.org/10.22331/q-2024-07-11-1406" TargetMode="External"/><Relationship Id="rId72" Type="http://schemas.openxmlformats.org/officeDocument/2006/relationships/hyperlink" Target="https://doi.org/10.22331/q-2025-03-25-1668" TargetMode="External"/><Relationship Id="rId87" Type="http://schemas.openxmlformats.org/officeDocument/2006/relationships/hyperlink" Target="https://doi.org/10.3390/e24020277" TargetMode="External"/><Relationship Id="rId93" Type="http://schemas.openxmlformats.org/officeDocument/2006/relationships/hyperlink" Target="https://doi.org/10.4310/ATMP.2022.v26.n10.a12" TargetMode="External"/><Relationship Id="rId82" Type="http://schemas.openxmlformats.org/officeDocument/2006/relationships/hyperlink" Target="https://scholarship.claremont.edu/pitzer_theses/187/" TargetMode="External"/><Relationship Id="rId81" Type="http://schemas.openxmlformats.org/officeDocument/2006/relationships/hyperlink" Target="https://www.jstor.org/stable/4615733"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86" Type="http://schemas.openxmlformats.org/officeDocument/2006/relationships/hyperlink" Target="https://arxiv.org/abs/0907.3740" TargetMode="External"/><Relationship Id="rId99" Type="http://schemas.openxmlformats.org/officeDocument/2006/relationships/hyperlink" Target="https://arxiv.org/abs/0911.4307" TargetMode="External"/><Relationship Id="rId92" Type="http://schemas.openxmlformats.org/officeDocument/2006/relationships/hyperlink" Target="https://arxiv.org/abs/1205.3197" TargetMode="External"/><Relationship Id="rId79" Type="http://schemas.openxmlformats.org/officeDocument/2006/relationships/hyperlink" Target="https://arxiv.org/abs/1411.7565" TargetMode="External"/><Relationship Id="rId88" Type="http://schemas.openxmlformats.org/officeDocument/2006/relationships/hyperlink" Target="https://arxiv.org/html/2202.06832v1" TargetMode="External"/><Relationship Id="rId77" Type="http://schemas.openxmlformats.org/officeDocument/2006/relationships/hyperlink" Target="https://doi.org/10.1007/BF01007479" TargetMode="External"/><Relationship Id="rId84" Type="http://schemas.openxmlformats.org/officeDocument/2006/relationships/hyperlink" Target="https://doi.org/10.1007/BF01645779" TargetMode="External"/><Relationship Id="rId76" Type="http://schemas.openxmlformats.org/officeDocument/2006/relationships/hyperlink" Target="https://doi.org/10.1007/s00220-019-03376-w" TargetMode="External"/><Relationship Id="rId85" Type="http://schemas.openxmlformats.org/officeDocument/2006/relationships/hyperlink" Target="https://doi.org/10.1007/s10701-024-00813-2" TargetMode="External"/><Relationship Id="rId78" Type="http://schemas.openxmlformats.org/officeDocument/2006/relationships/hyperlink" Target="https://doi.org/10.1007/s11749-017-0571-1" TargetMode="External"/><Relationship Id="rId73" Type="http://schemas.openxmlformats.org/officeDocument/2006/relationships/hyperlink" Target="https://doi.org/10.1038/ncomms8908" TargetMode="External"/><Relationship Id="rId98" Type="http://schemas.openxmlformats.org/officeDocument/2006/relationships/hyperlink" Target="https://doi.org/10.1038/nphys1202" TargetMode="External"/><Relationship Id="rId91" Type="http://schemas.openxmlformats.org/officeDocument/2006/relationships/hyperlink" Target="https://doi.org/10.1038/nphys444" TargetMode="External"/><Relationship Id="rId80" Type="http://schemas.openxmlformats.org/officeDocument/2006/relationships/hyperlink" Target="https://doi.org/10.1080/01621459.1963.10500830" TargetMode="External"/><Relationship Id="rId75" Type="http://schemas.openxmlformats.org/officeDocument/2006/relationships/hyperlink" Target="https://doi.org/10.1103/PhysRevA.103.022213" TargetMode="External"/><Relationship Id="rId74" Type="http://schemas.openxmlformats.org/officeDocument/2006/relationships/hyperlink" Target="https://doi.org/10.1103/PhysRevD.95.024031" TargetMode="External"/><Relationship Id="rId83" Type="http://schemas.openxmlformats.org/officeDocument/2006/relationships/hyperlink" Target="https://doi.org/10.1103/PhysRevLett.122.010403" TargetMode="External"/><Relationship Id="rId89" Type="http://schemas.openxmlformats.org/officeDocument/2006/relationships/hyperlink" Target="https://doi.org/10.1103/PhysRevLett.82.5181" TargetMode="External"/><Relationship Id="rId94" Type="http://schemas.openxmlformats.org/officeDocument/2006/relationships/hyperlink" Target="https://doi.org/10.1103/PhysRevLett.87.077901" TargetMode="External"/><Relationship Id="rId96" Type="http://schemas.openxmlformats.org/officeDocument/2006/relationships/hyperlink" Target="https://doi.org/10.1103/PhysRevLett.92.060402" TargetMode="External"/><Relationship Id="rId97" Type="http://schemas.openxmlformats.org/officeDocument/2006/relationships/hyperlink" Target="https://doi.org/10.1103/RevModPhys.75.715" TargetMode="External"/><Relationship Id="rId71" Type="http://schemas.openxmlformats.org/officeDocument/2006/relationships/hyperlink" Target="https://doi.org/10.1103/vj4x-96fk" TargetMode="External"/><Relationship Id="rId90" Type="http://schemas.openxmlformats.org/officeDocument/2006/relationships/hyperlink" Target="https://doi.org/10.2202/1544-6115.1585" TargetMode="External"/><Relationship Id="rId95" Type="http://schemas.openxmlformats.org/officeDocument/2006/relationships/hyperlink" Target="https://doi.org/10.22331/q-2024-07-11-1406" TargetMode="External"/><Relationship Id="rId72" Type="http://schemas.openxmlformats.org/officeDocument/2006/relationships/hyperlink" Target="https://doi.org/10.22331/q-2025-03-25-1668" TargetMode="External"/><Relationship Id="rId87" Type="http://schemas.openxmlformats.org/officeDocument/2006/relationships/hyperlink" Target="https://doi.org/10.3390/e24020277" TargetMode="External"/><Relationship Id="rId93" Type="http://schemas.openxmlformats.org/officeDocument/2006/relationships/hyperlink" Target="https://doi.org/10.4310/ATMP.2022.v26.n10.a12" TargetMode="External"/><Relationship Id="rId82" Type="http://schemas.openxmlformats.org/officeDocument/2006/relationships/hyperlink" Target="https://scholarship.claremont.edu/pitzer_theses/187/" TargetMode="External"/><Relationship Id="rId81" Type="http://schemas.openxmlformats.org/officeDocument/2006/relationships/hyperlink" Target="https://www.jstor.org/stable/46157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Frame-Aligned Records</dc:title>
  <dc:creator>James McGaughran</dc:creator>
  <cp:keywords/>
  <dcterms:created xsi:type="dcterms:W3CDTF">2026-09-26T11:16:31Z</dcterms:created>
  <dcterms:modified xsi:type="dcterms:W3CDTF">2026-09-26T11:16:31Z</dcterms:modified>
  <dc:subject>ORSH/AIU v1.8 external review edition; canonical source Frame_Aligned_Records_v0_5.md</dc:subject>
  <dc:description>Generated from the supplied canonical Markdown; not an independent prose source.</dc:description>
</cp:coreProperties>
</file>

<file path=docProps/custom.xml><?xml version="1.0" encoding="utf-8"?>
<Properties xmlns="http://schemas.openxmlformats.org/officeDocument/2006/custom-properties" xmlns:vt="http://schemas.openxmlformats.org/officeDocument/2006/docPropsVTypes"/>
</file>